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charts/colors1.xml" ContentType="application/vnd.ms-office.chartcolorstyle+xml"/>
  <Override PartName="/word/fontTable.xml" ContentType="application/vnd.openxmlformats-officedocument.wordprocessingml.fontTable+xml"/>
  <Override PartName="/docProps/core.xml" ContentType="application/vnd.openxmlformats-package.core-properties+xml"/>
  <Override PartName="/word/charts/chart1.xml" ContentType="application/vnd.openxmlformats-officedocument.drawingml.chart+xml"/>
  <Override PartName="/word/numbering.xml" ContentType="application/vnd.openxmlformats-officedocument.wordprocessingml.numbering+xml"/>
  <Override PartName="/word/charts/style2.xml" ContentType="application/vnd.ms-office.chartstyle+xml"/>
  <Override PartName="/word/settings.xml" ContentType="application/vnd.openxmlformats-officedocument.wordprocessingml.settings+xml"/>
  <Override PartName="/docProps/custom.xml" ContentType="application/vnd.openxmlformats-officedocument.custom-properties+xml"/>
  <Override PartName="/word/charts/colors2.xml" ContentType="application/vnd.ms-office.chartcolorstyle+xml"/>
  <Override PartName="/word/document.xml" ContentType="application/vnd.openxmlformats-officedocument.wordprocessingml.document.main+xml"/>
  <Override PartName="/word/charts/chart2.xml" ContentType="application/vnd.openxmlformats-officedocument.drawingml.chart+xml"/>
  <Override PartName="/word/charts/style1.xml" ContentType="application/vnd.ms-office.chartstyle+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jc w:val="right"/>
        <w:rPr>
          <w:rFonts w:ascii="Times New Roman" w:cs="Times New Roman" w:hAnsi="Times New Roman"/>
          <w:b/>
          <w:bCs/>
          <w:sz w:val="24"/>
          <w:szCs w:val="24"/>
        </w:rPr>
      </w:pPr>
      <w:r>
        <w:rPr>
          <w:rFonts w:ascii="Times New Roman" w:cs="Times New Roman" w:hAnsi="Times New Roman"/>
          <w:b/>
          <w:bCs/>
          <w:sz w:val="24"/>
          <w:szCs w:val="24"/>
        </w:rPr>
        <w:t xml:space="preserve">Authors- </w:t>
      </w:r>
      <w:r>
        <w:rPr>
          <w:rFonts w:ascii="Times New Roman" w:cs="Times New Roman" w:hAnsi="Times New Roman"/>
          <w:b/>
          <w:bCs/>
          <w:sz w:val="24"/>
          <w:szCs w:val="24"/>
          <w:vertAlign w:val="superscript"/>
        </w:rPr>
        <w:t>1</w:t>
      </w:r>
      <w:r>
        <w:rPr>
          <w:rFonts w:ascii="Times New Roman" w:cs="Times New Roman" w:hAnsi="Times New Roman"/>
          <w:b/>
          <w:bCs/>
          <w:sz w:val="24"/>
          <w:szCs w:val="24"/>
        </w:rPr>
        <w:t xml:space="preserve">Okoh Chidera Cynthia, </w:t>
      </w:r>
      <w:r>
        <w:rPr>
          <w:rFonts w:ascii="Times New Roman" w:cs="Times New Roman" w:hAnsi="Times New Roman"/>
          <w:b/>
          <w:bCs/>
          <w:sz w:val="24"/>
          <w:szCs w:val="24"/>
          <w:vertAlign w:val="superscript"/>
        </w:rPr>
        <w:t>1</w:t>
      </w:r>
      <w:r>
        <w:rPr>
          <w:rFonts w:ascii="Times New Roman" w:cs="Times New Roman" w:hAnsi="Times New Roman"/>
          <w:b/>
          <w:bCs/>
          <w:sz w:val="24"/>
          <w:szCs w:val="24"/>
        </w:rPr>
        <w:t>Nwobodo Humphrey</w:t>
      </w:r>
    </w:p>
    <w:p>
      <w:pPr>
        <w:pStyle w:val="style0"/>
        <w:spacing w:lineRule="auto" w:line="360"/>
        <w:jc w:val="right"/>
        <w:rPr>
          <w:rFonts w:ascii="Times New Roman" w:cs="Times New Roman" w:hAnsi="Times New Roman"/>
          <w:b/>
          <w:bCs/>
          <w:sz w:val="24"/>
          <w:szCs w:val="24"/>
        </w:rPr>
      </w:pPr>
      <w:r>
        <w:rPr>
          <w:rFonts w:ascii="Times New Roman" w:cs="Times New Roman" w:hAnsi="Times New Roman"/>
          <w:b/>
          <w:bCs/>
          <w:sz w:val="24"/>
          <w:szCs w:val="24"/>
          <w:vertAlign w:val="superscript"/>
        </w:rPr>
        <w:t>1</w:t>
      </w:r>
      <w:r>
        <w:rPr>
          <w:rFonts w:ascii="Times New Roman" w:cs="Times New Roman" w:hAnsi="Times New Roman"/>
          <w:b/>
          <w:bCs/>
          <w:sz w:val="24"/>
          <w:szCs w:val="24"/>
        </w:rPr>
        <w:t>Department of Medical Laboratory Science, Faculty of Health Sciences and Technology, College of Medicine, Enugu State University of  Science and Technology.</w:t>
      </w:r>
    </w:p>
    <w:p>
      <w:pPr>
        <w:pStyle w:val="style0"/>
        <w:snapToGrid w:val="false"/>
        <w:spacing w:after="0" w:lineRule="auto" w:line="360"/>
        <w:jc w:val="right"/>
        <w:rPr>
          <w:rFonts w:ascii="Times New Roman" w:cs="Times New Roman" w:hAnsi="Times New Roman"/>
          <w:b/>
          <w:bCs/>
          <w:sz w:val="24"/>
          <w:szCs w:val="24"/>
        </w:rPr>
      </w:pPr>
      <w:r>
        <w:rPr>
          <w:rFonts w:ascii="Times New Roman" w:cs="Times New Roman" w:hAnsi="Times New Roman"/>
          <w:b/>
          <w:bCs/>
          <w:sz w:val="24"/>
          <w:szCs w:val="24"/>
        </w:rPr>
        <w:t>Corresponding author:</w:t>
      </w:r>
      <w:r>
        <w:rPr>
          <w:rFonts w:ascii="Times New Roman" w:cs="Times New Roman" w:hAnsi="Times New Roman"/>
          <w:b/>
          <w:bCs/>
          <w:sz w:val="24"/>
          <w:szCs w:val="24"/>
        </w:rPr>
        <w:tab/>
      </w:r>
      <w:r>
        <w:rPr>
          <w:rFonts w:ascii="Times New Roman" w:cs="Times New Roman" w:hAnsi="Times New Roman"/>
          <w:b/>
          <w:bCs/>
          <w:sz w:val="24"/>
          <w:szCs w:val="24"/>
        </w:rPr>
        <w:t>Chidera Cynthia</w:t>
      </w:r>
    </w:p>
    <w:p>
      <w:pPr>
        <w:pStyle w:val="style0"/>
        <w:spacing w:lineRule="auto" w:line="480"/>
        <w:jc w:val="center"/>
        <w:rPr>
          <w:rFonts w:ascii="Arial" w:cs="Arial" w:hAnsi="Arial"/>
          <w:b/>
          <w:bCs/>
          <w:sz w:val="24"/>
          <w:szCs w:val="24"/>
        </w:rPr>
      </w:pPr>
    </w:p>
    <w:p>
      <w:pPr>
        <w:pStyle w:val="style0"/>
        <w:spacing w:lineRule="auto" w:line="480"/>
        <w:jc w:val="center"/>
        <w:rPr>
          <w:rFonts w:ascii="Times New Roman" w:cs="Times New Roman" w:hAnsi="Times New Roman"/>
          <w:b/>
          <w:bCs/>
          <w:i/>
          <w:sz w:val="24"/>
          <w:szCs w:val="24"/>
        </w:rPr>
      </w:pPr>
      <w:r>
        <w:rPr>
          <w:rFonts w:ascii="Times New Roman" w:cs="Times New Roman" w:hAnsi="Times New Roman"/>
          <w:b/>
          <w:bCs/>
          <w:i/>
          <w:sz w:val="24"/>
          <w:szCs w:val="24"/>
        </w:rPr>
        <w:t xml:space="preserve">HEPATITIS B VIRUS SCREENING AND LIVER ENZYME OF SEROPOSITIVE HBV AMONG PREGNANT WOMEN ATTENDING ANTENATAL CLINIC </w:t>
      </w:r>
      <w:r>
        <w:rPr>
          <w:rFonts w:ascii="Times New Roman" w:cs="Times New Roman" w:eastAsia="Times New Roman" w:hAnsi="Times New Roman"/>
          <w:b/>
          <w:i/>
          <w:sz w:val="24"/>
          <w:szCs w:val="24"/>
        </w:rPr>
        <w:t>IN ENUGU STATE UNIVERSITY OF SCIENCE AND TECHNOLOGY TEACHING HOSPITAL PARKLANE</w:t>
      </w:r>
      <w:r>
        <w:rPr>
          <w:rFonts w:ascii="Times New Roman" w:cs="Times New Roman" w:hAnsi="Times New Roman"/>
          <w:b/>
          <w:bCs/>
          <w:i/>
          <w:sz w:val="24"/>
          <w:szCs w:val="24"/>
        </w:rPr>
        <w:t>.</w:t>
      </w:r>
    </w:p>
    <w:p>
      <w:pPr>
        <w:pStyle w:val="style0"/>
        <w:spacing w:lineRule="auto" w:line="360"/>
        <w:jc w:val="center"/>
        <w:outlineLvl w:val="0"/>
        <w:rPr>
          <w:rFonts w:ascii="Times New Roman" w:cs="Times New Roman" w:hAnsi="Times New Roman"/>
          <w:b/>
          <w:bCs/>
          <w:sz w:val="24"/>
          <w:szCs w:val="24"/>
        </w:rPr>
        <w:sectPr>
          <w:pgSz w:w="12240" w:h="15840" w:orient="portrait"/>
          <w:pgMar w:top="1440" w:right="1440" w:bottom="1440" w:left="1440" w:header="720" w:footer="720" w:gutter="0"/>
          <w:cols w:space="720" w:num="1"/>
          <w:docGrid w:linePitch="360" w:charSpace="0"/>
        </w:sectPr>
      </w:pPr>
    </w:p>
    <w:p>
      <w:pPr>
        <w:pStyle w:val="style0"/>
        <w:spacing w:lineRule="auto" w:line="360"/>
        <w:jc w:val="center"/>
        <w:outlineLvl w:val="0"/>
        <w:rPr>
          <w:rFonts w:ascii="Times New Roman" w:cs="Times New Roman" w:hAnsi="Times New Roman"/>
          <w:b/>
          <w:bCs/>
          <w:sz w:val="22"/>
          <w:szCs w:val="22"/>
        </w:rPr>
      </w:pPr>
      <w:r>
        <w:rPr>
          <w:rFonts w:ascii="Times New Roman" w:cs="Times New Roman" w:hAnsi="Times New Roman"/>
          <w:b/>
          <w:bCs/>
          <w:sz w:val="22"/>
          <w:szCs w:val="22"/>
        </w:rPr>
        <w:t>Abstract</w:t>
      </w:r>
    </w:p>
    <w:p>
      <w:pPr>
        <w:pStyle w:val="style94"/>
        <w:shd w:val="clear" w:color="auto" w:fill="ffffff"/>
        <w:spacing w:beforeAutospacing="false" w:after="100" w:lineRule="auto" w:line="360"/>
        <w:rPr>
          <w:b/>
          <w:bCs/>
          <w:sz w:val="22"/>
          <w:szCs w:val="22"/>
        </w:rPr>
      </w:pPr>
      <w:r>
        <w:rPr>
          <w:rFonts w:eastAsia="Tahoma"/>
          <w:color w:val="262626"/>
          <w:sz w:val="22"/>
          <w:szCs w:val="22"/>
          <w:shd w:val="clear" w:color="auto" w:fill="ffffff"/>
        </w:rPr>
        <w:t xml:space="preserve">Chronic Hepatitis B Virus (HBV) infection is a significant global health issue, particularly affecting pregnant women in low- and middle-income countries. This study aims to investigate the prevalence, knowledge, attitudes, practices, and risk factors associated with HBV infection among pregnant women attending antenatal clinics at Enugu State University of Technology Teaching Hospital Parklane, Nigeria.This </w:t>
      </w:r>
      <w:r>
        <w:rPr>
          <w:rFonts w:eastAsia="Tahoma" w:hint="default"/>
          <w:color w:val="262626"/>
          <w:sz w:val="22"/>
          <w:szCs w:val="22"/>
          <w:shd w:val="clear" w:color="auto" w:fill="ffffff"/>
          <w:lang w:val="en-US"/>
        </w:rPr>
        <w:t xml:space="preserve">study employed a </w:t>
      </w:r>
      <w:r>
        <w:rPr>
          <w:rFonts w:eastAsia="Tahoma"/>
          <w:color w:val="262626"/>
          <w:sz w:val="22"/>
          <w:szCs w:val="22"/>
          <w:shd w:val="clear" w:color="auto" w:fill="ffffff"/>
        </w:rPr>
        <w:t>mixed cross-sectional design, involving 111 pregnant women recruited from the antenatal clinic at Enugu State University of Science and Technology Teaching Hospital Parklane. Ethical Clearance and patients’ consent were obtained. Data were collected through structured questionnaires assessing sociodemographic factors, knowledge, attitudes, and practices regarding HBV. It was conducted within a period of 6 months; June 1st—November 21st 2024. Blood samples were screened for HBV seropositivity, and liver function tests were performed on seropositive participants.</w:t>
      </w:r>
      <w:r>
        <w:rPr>
          <w:rFonts w:eastAsia="Tahoma" w:hint="default"/>
          <w:color w:val="262626"/>
          <w:sz w:val="22"/>
          <w:szCs w:val="22"/>
          <w:shd w:val="clear" w:color="auto" w:fill="ffffff"/>
          <w:lang w:val="en-US"/>
        </w:rPr>
        <w:t xml:space="preserve"> 4 of the participants were shown to have the virus making the prevalence to be</w:t>
      </w:r>
      <w:r>
        <w:rPr>
          <w:rFonts w:eastAsia="Tahoma"/>
          <w:color w:val="262626"/>
          <w:sz w:val="22"/>
          <w:szCs w:val="22"/>
          <w:shd w:val="clear" w:color="auto" w:fill="ffffff"/>
        </w:rPr>
        <w:t xml:space="preserve"> 2.7%. </w:t>
      </w:r>
      <w:r>
        <w:rPr>
          <w:rFonts w:eastAsia="Tahoma" w:hint="default"/>
          <w:color w:val="262626"/>
          <w:sz w:val="22"/>
          <w:szCs w:val="22"/>
          <w:shd w:val="clear" w:color="auto" w:fill="ffffff"/>
          <w:lang w:val="en-US"/>
        </w:rPr>
        <w:t xml:space="preserve">61 participants ( </w:t>
      </w:r>
      <w:r>
        <w:rPr>
          <w:rFonts w:eastAsia="Tahoma"/>
          <w:color w:val="262626"/>
          <w:sz w:val="22"/>
          <w:szCs w:val="22"/>
          <w:shd w:val="clear" w:color="auto" w:fill="ffffff"/>
        </w:rPr>
        <w:t>55.5%</w:t>
      </w:r>
      <w:r>
        <w:rPr>
          <w:rFonts w:eastAsia="Tahoma" w:hint="default"/>
          <w:color w:val="262626"/>
          <w:sz w:val="22"/>
          <w:szCs w:val="22"/>
          <w:shd w:val="clear" w:color="auto" w:fill="ffffff"/>
          <w:lang w:val="en-US"/>
        </w:rPr>
        <w:t>)</w:t>
      </w:r>
      <w:r>
        <w:rPr>
          <w:rFonts w:eastAsia="Tahoma"/>
          <w:color w:val="262626"/>
          <w:sz w:val="22"/>
          <w:szCs w:val="22"/>
          <w:shd w:val="clear" w:color="auto" w:fill="ffffff"/>
        </w:rPr>
        <w:t xml:space="preserve">  were between 26-35 years old While Only </w:t>
      </w:r>
      <w:r>
        <w:rPr>
          <w:rFonts w:eastAsia="Tahoma" w:hint="default"/>
          <w:color w:val="262626"/>
          <w:sz w:val="22"/>
          <w:szCs w:val="22"/>
          <w:shd w:val="clear" w:color="auto" w:fill="ffffff"/>
          <w:lang w:val="en-US"/>
        </w:rPr>
        <w:t>15 participants (</w:t>
      </w:r>
      <w:r>
        <w:rPr>
          <w:rFonts w:eastAsia="Tahoma"/>
          <w:color w:val="262626"/>
          <w:sz w:val="22"/>
          <w:szCs w:val="22"/>
          <w:shd w:val="clear" w:color="auto" w:fill="ffffff"/>
        </w:rPr>
        <w:t>13.5%</w:t>
      </w:r>
      <w:r>
        <w:rPr>
          <w:rFonts w:eastAsia="Tahoma" w:hint="default"/>
          <w:color w:val="262626"/>
          <w:sz w:val="22"/>
          <w:szCs w:val="22"/>
          <w:shd w:val="clear" w:color="auto" w:fill="ffffff"/>
          <w:lang w:val="en-US"/>
        </w:rPr>
        <w:t>)</w:t>
      </w:r>
      <w:r>
        <w:rPr>
          <w:rFonts w:eastAsia="Tahoma"/>
          <w:color w:val="262626"/>
          <w:sz w:val="22"/>
          <w:szCs w:val="22"/>
          <w:shd w:val="clear" w:color="auto" w:fill="ffffff"/>
        </w:rPr>
        <w:t xml:space="preserve"> were between 36-45 the re</w:t>
      </w:r>
      <w:r>
        <w:rPr>
          <w:rFonts w:eastAsia="Tahoma" w:hint="default"/>
          <w:color w:val="262626"/>
          <w:sz w:val="22"/>
          <w:szCs w:val="22"/>
          <w:shd w:val="clear" w:color="auto" w:fill="ffffff"/>
          <w:lang w:val="en-US"/>
        </w:rPr>
        <w:t>maining</w:t>
      </w:r>
      <w:r>
        <w:rPr>
          <w:rFonts w:eastAsia="Tahoma"/>
          <w:color w:val="262626"/>
          <w:sz w:val="22"/>
          <w:szCs w:val="22"/>
          <w:shd w:val="clear" w:color="auto" w:fill="ffffff"/>
        </w:rPr>
        <w:t xml:space="preserve"> </w:t>
      </w:r>
      <w:r>
        <w:rPr>
          <w:rFonts w:eastAsia="Tahoma" w:hint="default"/>
          <w:color w:val="262626"/>
          <w:sz w:val="22"/>
          <w:szCs w:val="22"/>
          <w:shd w:val="clear" w:color="auto" w:fill="ffffff"/>
          <w:lang w:val="en-US"/>
        </w:rPr>
        <w:t>35 participants (31.5%) were</w:t>
      </w:r>
      <w:r>
        <w:rPr>
          <w:rFonts w:eastAsia="Tahoma"/>
          <w:color w:val="262626"/>
          <w:sz w:val="22"/>
          <w:szCs w:val="22"/>
          <w:shd w:val="clear" w:color="auto" w:fill="ffffff"/>
        </w:rPr>
        <w:t xml:space="preserve">15-25 years old. </w:t>
      </w:r>
      <w:r>
        <w:rPr>
          <w:rFonts w:eastAsia="Tahoma" w:hint="default"/>
          <w:color w:val="262626"/>
          <w:sz w:val="22"/>
          <w:szCs w:val="22"/>
          <w:shd w:val="clear" w:color="auto" w:fill="ffffff"/>
          <w:lang w:val="en-US"/>
        </w:rPr>
        <w:t>43 participants (</w:t>
      </w:r>
      <w:r>
        <w:rPr>
          <w:rFonts w:eastAsia="Tahoma"/>
          <w:color w:val="262626"/>
          <w:sz w:val="22"/>
          <w:szCs w:val="22"/>
          <w:shd w:val="clear" w:color="auto" w:fill="ffffff"/>
        </w:rPr>
        <w:t>38.7%</w:t>
      </w:r>
      <w:r>
        <w:rPr>
          <w:rFonts w:eastAsia="Tahoma" w:hint="default"/>
          <w:color w:val="262626"/>
          <w:sz w:val="22"/>
          <w:szCs w:val="22"/>
          <w:shd w:val="clear" w:color="auto" w:fill="ffffff"/>
          <w:lang w:val="en-US"/>
        </w:rPr>
        <w:t xml:space="preserve">) </w:t>
      </w:r>
      <w:r>
        <w:rPr>
          <w:rFonts w:eastAsia="Tahoma"/>
          <w:color w:val="262626"/>
          <w:sz w:val="22"/>
          <w:szCs w:val="22"/>
          <w:shd w:val="clear" w:color="auto" w:fill="ffffff"/>
        </w:rPr>
        <w:t>and</w:t>
      </w:r>
      <w:r>
        <w:rPr>
          <w:rFonts w:eastAsia="Tahoma" w:hint="default"/>
          <w:color w:val="262626"/>
          <w:sz w:val="22"/>
          <w:szCs w:val="22"/>
          <w:shd w:val="clear" w:color="auto" w:fill="ffffff"/>
          <w:lang w:val="en-US"/>
        </w:rPr>
        <w:t xml:space="preserve"> 44 particpants (</w:t>
      </w:r>
      <w:r>
        <w:rPr>
          <w:rFonts w:eastAsia="Tahoma"/>
          <w:color w:val="262626"/>
          <w:sz w:val="22"/>
          <w:szCs w:val="22"/>
          <w:shd w:val="clear" w:color="auto" w:fill="ffffff"/>
        </w:rPr>
        <w:t>39.6</w:t>
      </w:r>
      <w:r>
        <w:rPr>
          <w:rFonts w:eastAsia="Tahoma" w:hint="default"/>
          <w:color w:val="262626"/>
          <w:sz w:val="22"/>
          <w:szCs w:val="22"/>
          <w:shd w:val="clear" w:color="auto" w:fill="ffffff"/>
          <w:lang w:val="en-US"/>
        </w:rPr>
        <w:t>%)</w:t>
      </w:r>
      <w:r>
        <w:rPr>
          <w:rFonts w:eastAsia="Tahoma"/>
          <w:color w:val="262626"/>
          <w:sz w:val="22"/>
          <w:szCs w:val="22"/>
          <w:shd w:val="clear" w:color="auto" w:fill="ffffff"/>
        </w:rPr>
        <w:t xml:space="preserve"> were in their  Second and third trimester respectively while the rest were in their first trimester. Knowledge about HBV was rated as very good (mean score = 3.39), while attitudes were neutral (mean score = 3.06), and practices towards prevention were excellent (mean score = 3.60). Despite high knowledge levels, only 2.7% reported having been tested for HBV, indicating a significant gap between awareness and practice. Socioeco</w:t>
      </w:r>
      <w:bookmarkStart w:id="0" w:name="_GoBack"/>
      <w:bookmarkEnd w:id="0"/>
      <w:r>
        <w:rPr>
          <w:rFonts w:eastAsia="Tahoma"/>
          <w:color w:val="262626"/>
          <w:sz w:val="22"/>
          <w:szCs w:val="22"/>
          <w:shd w:val="clear" w:color="auto" w:fill="ffffff"/>
        </w:rPr>
        <w:t>nomic factors.</w:t>
      </w:r>
      <w:r>
        <w:rPr>
          <w:rFonts w:eastAsia="Tahoma" w:hint="default"/>
          <w:color w:val="262626"/>
          <w:sz w:val="22"/>
          <w:szCs w:val="22"/>
          <w:shd w:val="clear" w:color="auto" w:fill="ffffff"/>
          <w:lang w:val="en-US"/>
        </w:rPr>
        <w:t xml:space="preserve"> </w:t>
      </w:r>
      <w:r>
        <w:rPr>
          <w:rFonts w:eastAsia="Tahoma"/>
          <w:color w:val="262626"/>
          <w:sz w:val="22"/>
          <w:szCs w:val="22"/>
          <w:shd w:val="clear" w:color="auto" w:fill="ffffff"/>
        </w:rPr>
        <w:t xml:space="preserve">The low prevalence of HBV among pregnant women in this study with only </w:t>
      </w:r>
      <w:r>
        <w:rPr>
          <w:rFonts w:eastAsia="Tahoma" w:hint="default"/>
          <w:color w:val="262626"/>
          <w:sz w:val="22"/>
          <w:szCs w:val="22"/>
          <w:shd w:val="clear" w:color="auto" w:fill="ffffff"/>
          <w:lang w:val="en-US"/>
        </w:rPr>
        <w:t xml:space="preserve"> 4 of the 111 participants (</w:t>
      </w:r>
      <w:r>
        <w:rPr>
          <w:rFonts w:eastAsia="Tahoma"/>
          <w:color w:val="262626"/>
          <w:sz w:val="22"/>
          <w:szCs w:val="22"/>
          <w:shd w:val="clear" w:color="auto" w:fill="ffffff"/>
        </w:rPr>
        <w:t>2.7%</w:t>
      </w:r>
      <w:r>
        <w:rPr>
          <w:rFonts w:eastAsia="Tahoma" w:hint="default"/>
          <w:color w:val="262626"/>
          <w:sz w:val="22"/>
          <w:szCs w:val="22"/>
          <w:shd w:val="clear" w:color="auto" w:fill="ffffff"/>
          <w:lang w:val="en-US"/>
        </w:rPr>
        <w:t xml:space="preserve">) </w:t>
      </w:r>
      <w:r>
        <w:rPr>
          <w:rFonts w:eastAsia="Tahoma"/>
          <w:color w:val="262626"/>
          <w:sz w:val="22"/>
          <w:szCs w:val="22"/>
          <w:shd w:val="clear" w:color="auto" w:fill="ffffff"/>
        </w:rPr>
        <w:t>is encouraging, given the high rates reported in other studies across Nigeria and other Saharan Africa.</w:t>
      </w:r>
    </w:p>
    <w:p>
      <w:pPr>
        <w:pStyle w:val="style0"/>
        <w:spacing w:lineRule="auto" w:line="360"/>
        <w:jc w:val="both"/>
        <w:outlineLvl w:val="0"/>
        <w:rPr>
          <w:rFonts w:ascii="Times New Roman" w:cs="Times New Roman" w:hAnsi="Times New Roman"/>
          <w:b/>
          <w:bCs/>
          <w:sz w:val="22"/>
          <w:szCs w:val="22"/>
        </w:rPr>
      </w:pPr>
    </w:p>
    <w:p>
      <w:pPr>
        <w:pStyle w:val="style0"/>
        <w:spacing w:lineRule="auto" w:line="360"/>
        <w:jc w:val="center"/>
        <w:rPr>
          <w:rFonts w:ascii="Times New Roman" w:cs="Times New Roman" w:eastAsia="Times New Roman" w:hAnsi="Times New Roman"/>
          <w:b/>
          <w:sz w:val="22"/>
          <w:szCs w:val="22"/>
        </w:rPr>
      </w:pPr>
      <w:r>
        <w:rPr>
          <w:rFonts w:ascii="Times New Roman" w:cs="Times New Roman" w:eastAsia="Times New Roman" w:hAnsi="Times New Roman"/>
          <w:b/>
          <w:sz w:val="22"/>
          <w:szCs w:val="22"/>
        </w:rPr>
        <w:t>INTRODUCTION</w:t>
      </w:r>
    </w:p>
    <w:p>
      <w:pPr>
        <w:pStyle w:val="style0"/>
        <w:spacing w:lineRule="auto" w:line="360"/>
        <w:rPr>
          <w:rFonts w:ascii="Times New Roman" w:cs="Times New Roman" w:eastAsia="Times New Roman" w:hAnsi="Times New Roman"/>
          <w:b/>
          <w:bCs/>
          <w:sz w:val="22"/>
          <w:szCs w:val="22"/>
        </w:rPr>
      </w:pPr>
      <w:r>
        <w:rPr>
          <w:rFonts w:ascii="Times New Roman" w:cs="Times New Roman" w:eastAsia="Times New Roman" w:hAnsi="Times New Roman"/>
          <w:b/>
          <w:bCs/>
          <w:sz w:val="22"/>
          <w:szCs w:val="22"/>
        </w:rPr>
        <w:t>BACKGROUND OF THE STUDY</w:t>
      </w:r>
    </w:p>
    <w:p>
      <w:pPr>
        <w:pStyle w:val="style0"/>
        <w:spacing w:lineRule="auto" w:line="360"/>
        <w:rPr>
          <w:rFonts w:ascii="Times New Roman" w:cs="Times New Roman" w:eastAsia="Times New Roman" w:hAnsi="Times New Roman"/>
          <w:sz w:val="22"/>
          <w:szCs w:val="22"/>
        </w:rPr>
      </w:pPr>
      <w:r>
        <w:rPr>
          <w:rFonts w:ascii="Times New Roman" w:cs="Times New Roman" w:eastAsia="Times New Roman" w:hAnsi="Times New Roman"/>
          <w:sz w:val="22"/>
          <w:szCs w:val="22"/>
        </w:rPr>
        <w:t>Chronic hepatitis B viral infection is a global public health threat that is responsible for a significant rise in death and debilitation in liver-related illnesses [1]. It can be contracted at birth and subsequently, through infected blood and body fluids during interpersonal contact [2].  The hepatitis B virus is the source of hepatitis B, a liver infection. Both acute (short-lived and severe) and chronic (long-lived) infections are common.</w:t>
      </w:r>
    </w:p>
    <w:p>
      <w:pPr>
        <w:pStyle w:val="style0"/>
        <w:spacing w:lineRule="auto" w:line="360"/>
        <w:rPr>
          <w:rFonts w:ascii="Times New Roman" w:cs="Times New Roman" w:eastAsia="Times New Roman" w:hAnsi="Times New Roman"/>
          <w:sz w:val="22"/>
          <w:szCs w:val="22"/>
        </w:rPr>
      </w:pPr>
      <w:r>
        <w:rPr>
          <w:rFonts w:ascii="Times New Roman" w:cs="Times New Roman" w:eastAsia="Times New Roman" w:hAnsi="Times New Roman"/>
          <w:sz w:val="22"/>
          <w:szCs w:val="22"/>
        </w:rPr>
        <w:t>They are different clinical phases, some lasting decades, typical of the course of a chronic HBV infection. The most frequent end stage is the development of liver cirrhosis and in worst-case scenarios, liver cancer [3]. However, these disease outcomes are also influenced by other clinical and viral characteristics and by host immune responses to viral replication in the body</w:t>
      </w:r>
      <w:r>
        <w:rPr>
          <w:rFonts w:ascii="Times New Roman" w:cs="Times New Roman" w:eastAsia="Times New Roman" w:hAnsi="Times New Roman"/>
          <w:color w:val="bf0000"/>
          <w:sz w:val="22"/>
          <w:szCs w:val="22"/>
        </w:rPr>
        <w:t xml:space="preserve"> </w:t>
      </w:r>
      <w:r>
        <w:rPr>
          <w:rFonts w:ascii="Times New Roman" w:cs="Times New Roman" w:eastAsia="Times New Roman" w:hAnsi="Times New Roman"/>
          <w:sz w:val="22"/>
          <w:szCs w:val="22"/>
        </w:rPr>
        <w:t>[4]</w:t>
      </w:r>
    </w:p>
    <w:p>
      <w:pPr>
        <w:pStyle w:val="style0"/>
        <w:spacing w:lineRule="auto" w:line="360"/>
        <w:rPr>
          <w:rFonts w:ascii="Times New Roman" w:cs="Times New Roman" w:eastAsia="Times New Roman" w:hAnsi="Times New Roman"/>
          <w:sz w:val="22"/>
          <w:szCs w:val="22"/>
        </w:rPr>
      </w:pPr>
      <w:r>
        <w:rPr>
          <w:rFonts w:ascii="Times New Roman" w:cs="Times New Roman" w:eastAsia="Times New Roman" w:hAnsi="Times New Roman"/>
          <w:sz w:val="22"/>
          <w:szCs w:val="22"/>
        </w:rPr>
        <w:t>An elevated level of hepatitis B viral DNA in the serum is the primary risk factor and diagnostic for the progression of the disease in people with chronic infection [2]. When combined with other virological indicators, liver biochemistry, and abdominal ultrasonography, the disease's progression can be effectively monitored, and the prognosis and course of treatment can be determined [2].</w:t>
      </w:r>
    </w:p>
    <w:p>
      <w:pPr>
        <w:pStyle w:val="style0"/>
        <w:spacing w:lineRule="auto" w:line="360"/>
        <w:rPr>
          <w:rFonts w:ascii="Times New Roman" w:cs="Times New Roman" w:eastAsia="Times New Roman" w:hAnsi="Times New Roman"/>
          <w:sz w:val="22"/>
          <w:szCs w:val="22"/>
        </w:rPr>
      </w:pPr>
      <w:r>
        <w:rPr>
          <w:rFonts w:ascii="Times New Roman" w:cs="Times New Roman" w:eastAsia="Times New Roman" w:hAnsi="Times New Roman"/>
          <w:sz w:val="22"/>
          <w:szCs w:val="22"/>
        </w:rPr>
        <w:t>Presently, 3.5% of people worldwide have a persistent hepatitis B viral infection which is a leading cause of liver cirrhosis and hepatocellular carcinoma (HCC) [5]. The high mortality rate is accounted for by over 1.3 million fatalities annually [5]. The WHO Western Pacific Region and the WHO African Region have the greatest rates of chronic infection, with 97 million and 65 million individuals, respectively, suffering from this condition [6]</w:t>
      </w:r>
      <w:r>
        <w:rPr>
          <w:rFonts w:ascii="Times New Roman" w:cs="Times New Roman" w:eastAsia="Times New Roman" w:hAnsi="Times New Roman"/>
          <w:color w:val="222222"/>
          <w:sz w:val="22"/>
          <w:szCs w:val="22"/>
          <w:highlight w:val="white"/>
        </w:rPr>
        <w:t>.</w:t>
      </w:r>
    </w:p>
    <w:p>
      <w:pPr>
        <w:pStyle w:val="style0"/>
        <w:spacing w:lineRule="auto" w:line="360"/>
        <w:rPr>
          <w:rFonts w:ascii="Times New Roman" w:cs="Times New Roman" w:eastAsia="Times New Roman" w:hAnsi="Times New Roman"/>
          <w:sz w:val="22"/>
          <w:szCs w:val="22"/>
        </w:rPr>
      </w:pPr>
      <w:r>
        <w:rPr>
          <w:rFonts w:ascii="Times New Roman" w:cs="Times New Roman" w:eastAsia="Times New Roman" w:hAnsi="Times New Roman"/>
          <w:sz w:val="22"/>
          <w:szCs w:val="22"/>
        </w:rPr>
        <w:t>Hepatitis B is most frequently transmitted from mother to child at birth (perinatal transmission) or horizontally (exposure to contaminated blood and body fluids), particularly between an infected and an uninfected child within the first five years of life, in highly endemic areas. When infants acquire an infection from their mothers or before turning five years old, a chronic infection has the potential to develop. Once perinatally infected with the hepatitis B virus, as much as forty per cent of men and 15% of women will die from hepatocellular carcinoma or liver cirrhosis [7].</w:t>
      </w:r>
    </w:p>
    <w:p>
      <w:pPr>
        <w:pStyle w:val="style0"/>
        <w:spacing w:lineRule="auto" w:line="360"/>
        <w:rPr>
          <w:rFonts w:ascii="Times New Roman" w:cs="Times New Roman" w:eastAsia="Times New Roman" w:hAnsi="Times New Roman"/>
          <w:sz w:val="22"/>
          <w:szCs w:val="22"/>
        </w:rPr>
      </w:pPr>
      <w:r>
        <w:rPr>
          <w:rFonts w:ascii="Times New Roman" w:cs="Times New Roman" w:eastAsia="Times New Roman" w:hAnsi="Times New Roman"/>
          <w:sz w:val="22"/>
          <w:szCs w:val="22"/>
        </w:rPr>
        <w:t xml:space="preserve"> Furthermore, less than 5% of adult occurrences of hepatitis B infection result in chronic hepatitis, whereas around 95% of cases of hepatitis B infection occur during infancy and early childhood [8]. This forms the cornerstone for bolstering and prioritizing child vaccinations. Since a reliable and safe vaccine became available in 1981, the prevalence of the disease has significantly decreased, albeit at a fluctuating rate, as a result of baby vaccination campaigns and to a lesser extent, by the use of antiviral therapy to reduce the viral load of chronically infected individuals</w:t>
      </w:r>
      <w:r>
        <w:rPr>
          <w:rFonts w:ascii="Times New Roman" w:cs="Times New Roman" w:eastAsia="Times New Roman" w:hAnsi="Times New Roman"/>
          <w:color w:val="bf0000"/>
          <w:sz w:val="22"/>
          <w:szCs w:val="22"/>
        </w:rPr>
        <w:t xml:space="preserve"> </w:t>
      </w:r>
      <w:r>
        <w:rPr>
          <w:rFonts w:ascii="Times New Roman" w:cs="Times New Roman" w:eastAsia="Times New Roman" w:hAnsi="Times New Roman"/>
          <w:sz w:val="22"/>
          <w:szCs w:val="22"/>
        </w:rPr>
        <w:t>[9].</w:t>
      </w:r>
      <w:r>
        <w:rPr>
          <w:rFonts w:ascii="Times New Roman" w:cs="Times New Roman" w:eastAsia="Arial" w:hAnsi="Times New Roman"/>
          <w:color w:val="505050"/>
          <w:sz w:val="22"/>
          <w:szCs w:val="22"/>
          <w:highlight w:val="white"/>
        </w:rPr>
        <w:t xml:space="preserve"> L</w:t>
      </w:r>
      <w:r>
        <w:rPr>
          <w:rFonts w:ascii="Times New Roman" w:cs="Times New Roman" w:eastAsia="Times New Roman" w:hAnsi="Times New Roman"/>
          <w:sz w:val="22"/>
          <w:szCs w:val="22"/>
        </w:rPr>
        <w:t>ong-term antiviral treatment can also reverse cirrhosis and reduce hepatocellular carcinoma. </w:t>
      </w:r>
    </w:p>
    <w:bookmarkStart w:id="1" w:name="_heading=h.gjdgxs" w:colFirst="0" w:colLast="0"/>
    <w:bookmarkEnd w:id="1"/>
    <w:p>
      <w:pPr>
        <w:pStyle w:val="style0"/>
        <w:spacing w:lineRule="auto" w:line="360"/>
        <w:rPr>
          <w:rFonts w:ascii="Times New Roman" w:cs="Times New Roman" w:eastAsia="Times New Roman" w:hAnsi="Times New Roman"/>
          <w:sz w:val="22"/>
          <w:szCs w:val="22"/>
        </w:rPr>
      </w:pPr>
      <w:r>
        <w:rPr>
          <w:rFonts w:ascii="Times New Roman" w:cs="Times New Roman" w:eastAsia="Times New Roman" w:hAnsi="Times New Roman"/>
          <w:sz w:val="22"/>
          <w:szCs w:val="22"/>
        </w:rPr>
        <w:t>Over one-third of persistent HBV infections globally are caused by mother-to-child transmission (MTCT) [10, 4]. Furthermore, 25% of people with chronic infection die from HBV-related consequences, which include cirrhosis and hepatic cancer, in an estimated 15% to 40% of cases [4].</w:t>
      </w:r>
      <w:r>
        <w:rPr>
          <w:rFonts w:ascii="Times New Roman" w:cs="Times New Roman" w:eastAsia="Times New Roman" w:hAnsi="Times New Roman"/>
          <w:color w:val="bf0000"/>
          <w:sz w:val="22"/>
          <w:szCs w:val="22"/>
        </w:rPr>
        <w:t xml:space="preserve"> </w:t>
      </w:r>
      <w:r>
        <w:rPr>
          <w:rFonts w:ascii="Times New Roman" w:cs="Times New Roman" w:eastAsia="Times New Roman" w:hAnsi="Times New Roman"/>
          <w:sz w:val="22"/>
          <w:szCs w:val="22"/>
        </w:rPr>
        <w:t>Either during pregnancy or after delivery, MTCT can happen. The worldwide burden of new chronic HBV infections can be decreased by lowering MTCT transmission rates and treating mothers with antiviral drugs, as well as by screening pregnant women for HBV infection and offering infant postexposure prophylaxis</w:t>
      </w:r>
      <w:r>
        <w:rPr>
          <w:rFonts w:ascii="Times New Roman" w:cs="Times New Roman" w:eastAsia="Times New Roman" w:hAnsi="Times New Roman"/>
          <w:color w:val="ed7d31"/>
          <w:sz w:val="22"/>
          <w:szCs w:val="22"/>
        </w:rPr>
        <w:t xml:space="preserve"> </w:t>
      </w:r>
      <w:r>
        <w:rPr>
          <w:rFonts w:ascii="Times New Roman" w:cs="Times New Roman" w:eastAsia="Times New Roman" w:hAnsi="Times New Roman"/>
          <w:sz w:val="22"/>
          <w:szCs w:val="22"/>
        </w:rPr>
        <w:t>[11].</w:t>
      </w:r>
    </w:p>
    <w:p>
      <w:pPr>
        <w:pStyle w:val="style0"/>
        <w:spacing w:lineRule="auto" w:line="360"/>
        <w:rPr>
          <w:rFonts w:ascii="Times New Roman" w:cs="Times New Roman" w:eastAsia="Times New Roman" w:hAnsi="Times New Roman"/>
          <w:b/>
          <w:sz w:val="22"/>
          <w:szCs w:val="22"/>
        </w:rPr>
      </w:pPr>
      <w:r>
        <w:rPr>
          <w:rFonts w:ascii="Times New Roman" w:cs="Times New Roman" w:eastAsia="Times New Roman" w:hAnsi="Times New Roman"/>
          <w:b/>
          <w:sz w:val="22"/>
          <w:szCs w:val="22"/>
        </w:rPr>
        <w:t>JUSTIFICATION OF STUDY</w:t>
      </w:r>
    </w:p>
    <w:p>
      <w:pPr>
        <w:pStyle w:val="style0"/>
        <w:spacing w:lineRule="auto" w:line="360"/>
        <w:rPr>
          <w:rFonts w:ascii="Times New Roman" w:cs="Times New Roman" w:eastAsia="Times New Roman" w:hAnsi="Times New Roman"/>
          <w:sz w:val="22"/>
          <w:szCs w:val="22"/>
        </w:rPr>
      </w:pPr>
      <w:r>
        <w:rPr>
          <w:rFonts w:ascii="Times New Roman" w:cs="Times New Roman" w:eastAsia="Times New Roman" w:hAnsi="Times New Roman"/>
          <w:sz w:val="22"/>
          <w:szCs w:val="22"/>
        </w:rPr>
        <w:t>The most prevalent type of chronic hepatitis in the world is caused by HBV infection, which is also a potentially avoidable global health issue. According to the World Health Organization (WHO) estimates, about 240 million people globally have a chronic HBV infection. Most of them, especially in highly endemic locations, develop their illnesses in infancy or during the perinatal period [12]</w:t>
      </w:r>
      <w:r>
        <w:rPr>
          <w:rFonts w:ascii="Times New Roman" w:cs="Times New Roman" w:eastAsia="Times New Roman" w:hAnsi="Times New Roman"/>
          <w:color w:val="bf0000"/>
          <w:sz w:val="22"/>
          <w:szCs w:val="22"/>
        </w:rPr>
        <w:t xml:space="preserve">. </w:t>
      </w:r>
      <w:r>
        <w:rPr>
          <w:rFonts w:ascii="Times New Roman" w:cs="Times New Roman" w:eastAsia="Times New Roman" w:hAnsi="Times New Roman"/>
          <w:sz w:val="22"/>
          <w:szCs w:val="22"/>
        </w:rPr>
        <w:t>Perinatal or newborn transmission may be the cause of almost one-third of chronic infections, even in low-endemic regions. Previous study data indicates that after contracting HBV, neonates have a 90 per cent likelihood of becoming chronic carriers, with children under the age of three having a 50% chance, and adults having only a 5%</w:t>
      </w:r>
      <w:r>
        <w:rPr>
          <w:rFonts w:ascii="Times New Roman" w:cs="Times New Roman" w:eastAsia="Times New Roman" w:hAnsi="Times New Roman"/>
          <w:color w:val="bf0000"/>
          <w:sz w:val="22"/>
          <w:szCs w:val="22"/>
        </w:rPr>
        <w:t xml:space="preserve"> </w:t>
      </w:r>
      <w:r>
        <w:rPr>
          <w:rFonts w:ascii="Times New Roman" w:cs="Times New Roman" w:eastAsia="Times New Roman" w:hAnsi="Times New Roman"/>
          <w:sz w:val="22"/>
          <w:szCs w:val="22"/>
        </w:rPr>
        <w:t>chance of developing chronic hepatitis [13]. Because of this, vertical transmission—also known as mother-to-child transmission (MTCT) during the perinatal or postpartum stages has been identified as the critical stage in the prevention of chronic HBV infections [13].</w:t>
      </w:r>
    </w:p>
    <w:p>
      <w:pPr>
        <w:pStyle w:val="style0"/>
        <w:spacing w:lineRule="auto" w:line="360"/>
        <w:rPr>
          <w:rFonts w:ascii="Times New Roman" w:cs="Times New Roman" w:eastAsia="Times New Roman" w:hAnsi="Times New Roman"/>
          <w:sz w:val="22"/>
          <w:szCs w:val="22"/>
        </w:rPr>
      </w:pPr>
      <w:r>
        <w:rPr>
          <w:rFonts w:ascii="Times New Roman" w:cs="Times New Roman" w:eastAsia="Times New Roman" w:hAnsi="Times New Roman"/>
          <w:sz w:val="22"/>
          <w:szCs w:val="22"/>
        </w:rPr>
        <w:t xml:space="preserve"> On the other hand, when HBV infections happen early in childhood or in individuals with compromised immune systems, such as those with Down syndrome or dialysis patients, they are more prone to progress into chronic infections [14]. According to a review, newborns who contract HBV from their infected mothers while still in utero or during the perinatal period have the highest incidence of chronicity. Virtually all of these infants grow up to be chronic carriers [15]. Also, the review showed that carrier rates drop for infections acquired later in childhood and are &lt;5% among healthy adults.</w:t>
      </w:r>
    </w:p>
    <w:p>
      <w:pPr>
        <w:pStyle w:val="style0"/>
        <w:spacing w:lineRule="auto" w:line="360"/>
        <w:rPr>
          <w:rFonts w:ascii="Times New Roman" w:cs="Times New Roman" w:eastAsia="Times New Roman" w:hAnsi="Times New Roman"/>
          <w:sz w:val="22"/>
          <w:szCs w:val="22"/>
        </w:rPr>
      </w:pPr>
      <w:r>
        <w:rPr>
          <w:rFonts w:ascii="Times New Roman" w:cs="Times New Roman" w:eastAsia="Times New Roman" w:hAnsi="Times New Roman"/>
          <w:sz w:val="22"/>
          <w:szCs w:val="22"/>
        </w:rPr>
        <w:t>Moreover, the highest rate of chronic carrier (&gt;85%) and subsequently elevated incidence of chronic liver disease and hepatocellular cancer are caused by mother-to-child perinatal transmission [16]. Consequently, among the top ten causes of mortality in Asian and African nations with high rates of perinatal and early childhood infection are cirrhosis or HCC, of which more than half are caused by HBV infection [15].</w:t>
      </w:r>
    </w:p>
    <w:p>
      <w:pPr>
        <w:pStyle w:val="style0"/>
        <w:spacing w:after="0" w:lineRule="auto" w:line="360"/>
        <w:rPr>
          <w:rFonts w:ascii="Times New Roman" w:cs="Times New Roman" w:eastAsia="Times New Roman" w:hAnsi="Times New Roman"/>
          <w:sz w:val="22"/>
          <w:szCs w:val="22"/>
        </w:rPr>
      </w:pPr>
      <w:r>
        <w:rPr>
          <w:rFonts w:ascii="Times New Roman" w:cs="Times New Roman" w:eastAsia="Times New Roman" w:hAnsi="Times New Roman"/>
          <w:sz w:val="22"/>
          <w:szCs w:val="22"/>
        </w:rPr>
        <w:t>It is important to comprehend the workings of mother-to-child perinatal transmission to stop the spread of HBV and minimize the mortality rates of chronic HBV infections.</w:t>
      </w:r>
    </w:p>
    <w:p>
      <w:pPr>
        <w:pStyle w:val="style0"/>
        <w:spacing w:lineRule="auto" w:line="360"/>
        <w:rPr>
          <w:rFonts w:ascii="Times New Roman" w:cs="Times New Roman" w:eastAsia="Times New Roman" w:hAnsi="Times New Roman"/>
          <w:sz w:val="22"/>
          <w:szCs w:val="22"/>
        </w:rPr>
      </w:pPr>
      <w:r>
        <w:rPr>
          <w:rFonts w:ascii="Times New Roman" w:cs="Times New Roman" w:eastAsia="Times New Roman" w:hAnsi="Times New Roman"/>
          <w:sz w:val="22"/>
          <w:szCs w:val="22"/>
        </w:rPr>
        <w:t xml:space="preserve">Three potential modes of perinatal transmission are known: </w:t>
      </w:r>
    </w:p>
    <w:p>
      <w:pPr>
        <w:pStyle w:val="style0"/>
        <w:numPr>
          <w:ilvl w:val="0"/>
          <w:numId w:val="1"/>
        </w:numPr>
        <w:spacing w:after="0" w:lineRule="auto" w:line="360"/>
        <w:rPr>
          <w:rFonts w:ascii="Times New Roman" w:cs="Times New Roman" w:eastAsia="Times New Roman" w:hAnsi="Times New Roman"/>
          <w:color w:val="000000"/>
          <w:sz w:val="22"/>
          <w:szCs w:val="22"/>
        </w:rPr>
      </w:pPr>
      <w:r>
        <w:rPr>
          <w:rFonts w:ascii="Times New Roman" w:cs="Times New Roman" w:eastAsia="Times New Roman" w:hAnsi="Times New Roman"/>
          <w:color w:val="000000"/>
          <w:sz w:val="22"/>
          <w:szCs w:val="22"/>
        </w:rPr>
        <w:t>Intrauterine</w:t>
      </w:r>
    </w:p>
    <w:p>
      <w:pPr>
        <w:pStyle w:val="style0"/>
        <w:numPr>
          <w:ilvl w:val="0"/>
          <w:numId w:val="1"/>
        </w:numPr>
        <w:spacing w:after="0" w:lineRule="auto" w:line="360"/>
        <w:rPr>
          <w:rFonts w:ascii="Times New Roman" w:cs="Times New Roman" w:eastAsia="Times New Roman" w:hAnsi="Times New Roman"/>
          <w:color w:val="000000"/>
          <w:sz w:val="22"/>
          <w:szCs w:val="22"/>
        </w:rPr>
      </w:pPr>
      <w:r>
        <w:rPr>
          <w:rFonts w:ascii="Times New Roman" w:cs="Times New Roman" w:eastAsia="Times New Roman" w:hAnsi="Times New Roman"/>
          <w:color w:val="000000"/>
          <w:sz w:val="22"/>
          <w:szCs w:val="22"/>
        </w:rPr>
        <w:t>Intrapartum (during birth), and</w:t>
      </w:r>
    </w:p>
    <w:p>
      <w:pPr>
        <w:pStyle w:val="style0"/>
        <w:numPr>
          <w:ilvl w:val="0"/>
          <w:numId w:val="1"/>
        </w:numPr>
        <w:spacing w:lineRule="auto" w:line="360"/>
        <w:rPr>
          <w:rFonts w:ascii="Times New Roman" w:cs="Times New Roman" w:eastAsia="Times New Roman" w:hAnsi="Times New Roman"/>
          <w:color w:val="000000"/>
          <w:sz w:val="22"/>
          <w:szCs w:val="22"/>
        </w:rPr>
      </w:pPr>
      <w:r>
        <w:rPr>
          <w:rFonts w:ascii="Times New Roman" w:cs="Times New Roman" w:eastAsia="Times New Roman" w:hAnsi="Times New Roman"/>
          <w:color w:val="000000"/>
          <w:sz w:val="22"/>
          <w:szCs w:val="22"/>
        </w:rPr>
        <w:t>Postpartum (via close contact or breast milk) transmission ([17])</w:t>
      </w:r>
    </w:p>
    <w:p>
      <w:pPr>
        <w:pStyle w:val="style0"/>
        <w:spacing w:lineRule="auto" w:line="360"/>
        <w:rPr>
          <w:rFonts w:ascii="Times New Roman" w:cs="Times New Roman" w:eastAsia="Times New Roman" w:hAnsi="Times New Roman"/>
          <w:sz w:val="22"/>
          <w:szCs w:val="22"/>
        </w:rPr>
      </w:pPr>
      <w:r>
        <w:rPr>
          <w:rFonts w:ascii="Times New Roman" w:cs="Times New Roman" w:eastAsia="Times New Roman" w:hAnsi="Times New Roman"/>
          <w:sz w:val="22"/>
          <w:szCs w:val="22"/>
        </w:rPr>
        <w:t>Identifying HBV-positive mothers for whom intervention may lower MTCT risk allows for the stopping of mother-to-child transmission (MTCT) through universal screening of expectant women during the second trimester. The single most significant predictor of MTCT is the level of HBV DNA in HBV-positive mothers. It is important to add that HBeAg, HBe Ab, anti-HB core IgG, and HIV status are additional risk factors [18].</w:t>
      </w:r>
    </w:p>
    <w:p>
      <w:pPr>
        <w:pStyle w:val="style0"/>
        <w:spacing w:lineRule="auto" w:line="360"/>
        <w:rPr>
          <w:rFonts w:ascii="Times New Roman" w:cs="Times New Roman" w:eastAsia="Times New Roman" w:hAnsi="Times New Roman"/>
          <w:sz w:val="22"/>
          <w:szCs w:val="22"/>
        </w:rPr>
      </w:pPr>
      <w:r>
        <w:rPr>
          <w:rFonts w:ascii="Times New Roman" w:cs="Times New Roman" w:eastAsia="Times New Roman" w:hAnsi="Times New Roman"/>
          <w:sz w:val="22"/>
          <w:szCs w:val="22"/>
        </w:rPr>
        <w:t>In high-risk neonates, the HBV immunisation by itself was found to be somewhat protective. However in a Taiwanese trial, just 23 per cent of newborns who received the vaccine one week after birth went on to become chronic carriers [19]. There was evidence of success even when treatment started one month after birth, at a lesser rate: 40% of newborns developed into carriers [20]. This showed that the administration of vaccines alone was insufficient for the control of transmission hence the approach to combine the use of HBIG and vaccines was visited and marked improvements have been noted ([13]).</w:t>
      </w:r>
    </w:p>
    <w:p>
      <w:pPr>
        <w:pStyle w:val="style0"/>
        <w:spacing w:lineRule="auto" w:line="360"/>
        <w:rPr>
          <w:rFonts w:ascii="Times New Roman" w:cs="Times New Roman" w:eastAsia="Times New Roman" w:hAnsi="Times New Roman"/>
          <w:sz w:val="22"/>
          <w:szCs w:val="22"/>
        </w:rPr>
      </w:pPr>
      <w:r>
        <w:rPr>
          <w:rFonts w:ascii="Times New Roman" w:cs="Times New Roman" w:eastAsia="Times New Roman" w:hAnsi="Times New Roman"/>
          <w:sz w:val="22"/>
          <w:szCs w:val="22"/>
        </w:rPr>
        <w:t>Therefore, the combined administration of HBIG with the Hepatitis B vaccine is more effective in reducing the prevalence of MTCT than either the vaccine or HBIG alone. Numerous studies, including Cochrane systematic reviews, suggest that immunization alone is not adequate to prevent MTCT of HBV in these HBsAg-positive mothers [15].</w:t>
      </w:r>
    </w:p>
    <w:p>
      <w:pPr>
        <w:pStyle w:val="style0"/>
        <w:spacing w:lineRule="auto" w:line="360"/>
        <w:rPr>
          <w:rFonts w:ascii="Times New Roman" w:cs="Times New Roman" w:eastAsia="Times New Roman" w:hAnsi="Times New Roman"/>
          <w:sz w:val="22"/>
          <w:szCs w:val="22"/>
        </w:rPr>
      </w:pPr>
      <w:r>
        <w:rPr>
          <w:rFonts w:ascii="Times New Roman" w:cs="Times New Roman" w:eastAsia="Times New Roman" w:hAnsi="Times New Roman"/>
          <w:sz w:val="22"/>
          <w:szCs w:val="22"/>
        </w:rPr>
        <w:t xml:space="preserve">According to [21] standards, newborns whose mothers are HBsAg-positive may benefit further from HBIG in addition to vaccination, especially if they are also HBeAg-positive. Because neonates are universally receiving passive and active immunoprophylaxis, the rate of HBV transmission has dropped by 85–95%. Therefore, the WHO and the majority of guidelines recommended that infants delivered to women who tested positive for HBsAg receive the HBIG and Hepatitis B vaccines within 12 hours of delivery [21].  As part of the full immunoprophylaxis procedure, the infants also need to receive at least two further doses of the HBV vaccine at one month and six months after birth [13]. </w:t>
      </w:r>
    </w:p>
    <w:p>
      <w:pPr>
        <w:pStyle w:val="style0"/>
        <w:spacing w:lineRule="auto" w:line="360"/>
        <w:rPr>
          <w:rFonts w:ascii="Times New Roman" w:cs="Times New Roman" w:eastAsia="Times New Roman" w:hAnsi="Times New Roman"/>
          <w:sz w:val="22"/>
          <w:szCs w:val="22"/>
        </w:rPr>
      </w:pPr>
      <w:r>
        <w:rPr>
          <w:rFonts w:ascii="Times New Roman" w:cs="Times New Roman" w:eastAsia="Times New Roman" w:hAnsi="Times New Roman"/>
          <w:sz w:val="22"/>
          <w:szCs w:val="22"/>
        </w:rPr>
        <w:t>By 2030, the World Health Organization wants to completely eradicate HBV. To achieve this, efforts have to be made in endemic regions such as Sub-Saharan Africa to screen pregnant women for HBV infection, treat mothers with antiviral medication and offer infant post-exposure prophylaxis within 24 hours of birth. This could also be aided by creating awareness and educational campaigns in prenatal care for pregnant women in every healthcare setting.`</w:t>
      </w:r>
    </w:p>
    <w:p>
      <w:pPr>
        <w:pStyle w:val="style0"/>
        <w:spacing w:lineRule="auto" w:line="360"/>
        <w:rPr>
          <w:rFonts w:ascii="Times New Roman" w:cs="Times New Roman" w:eastAsia="Times New Roman" w:hAnsi="Times New Roman"/>
          <w:sz w:val="22"/>
          <w:szCs w:val="22"/>
        </w:rPr>
      </w:pPr>
    </w:p>
    <w:p>
      <w:pPr>
        <w:pStyle w:val="style0"/>
        <w:spacing w:lineRule="auto" w:line="360"/>
        <w:rPr>
          <w:rFonts w:ascii="Times New Roman" w:cs="Times New Roman" w:eastAsia="Times New Roman" w:hAnsi="Times New Roman"/>
          <w:b/>
          <w:sz w:val="22"/>
          <w:szCs w:val="22"/>
        </w:rPr>
      </w:pPr>
      <w:r>
        <w:rPr>
          <w:rFonts w:ascii="Times New Roman" w:cs="Times New Roman" w:eastAsia="Times New Roman" w:hAnsi="Times New Roman"/>
          <w:b/>
          <w:sz w:val="22"/>
          <w:szCs w:val="22"/>
        </w:rPr>
        <w:t>1.3 AIM</w:t>
      </w:r>
    </w:p>
    <w:p>
      <w:pPr>
        <w:pStyle w:val="style0"/>
        <w:spacing w:lineRule="auto" w:line="360"/>
        <w:rPr>
          <w:rFonts w:ascii="Times New Roman" w:cs="Times New Roman" w:eastAsia="Times New Roman" w:hAnsi="Times New Roman"/>
          <w:sz w:val="22"/>
          <w:szCs w:val="22"/>
        </w:rPr>
      </w:pPr>
      <w:r>
        <w:rPr>
          <w:rFonts w:ascii="Times New Roman" w:cs="Times New Roman" w:eastAsia="Times New Roman" w:hAnsi="Times New Roman"/>
          <w:sz w:val="22"/>
          <w:szCs w:val="22"/>
        </w:rPr>
        <w:t>This study aims to Screen, Determine the Prevalence of Hepatitis B virus(HBV)infection evaluate the knowledge attitudes, practices, and risk factors of the virus (HBV)  among pregnant women visiting prenatal clinics at Enugu State University of Technology (ESUT), Enugu.</w:t>
      </w:r>
    </w:p>
    <w:p>
      <w:pPr>
        <w:pStyle w:val="style0"/>
        <w:spacing w:lineRule="auto" w:line="360"/>
        <w:rPr>
          <w:rFonts w:ascii="Times New Roman" w:cs="Times New Roman" w:eastAsia="Times New Roman" w:hAnsi="Times New Roman"/>
          <w:b/>
          <w:sz w:val="22"/>
          <w:szCs w:val="22"/>
        </w:rPr>
      </w:pPr>
      <w:r>
        <w:rPr>
          <w:rFonts w:ascii="Times New Roman" w:cs="Times New Roman" w:eastAsia="Times New Roman" w:hAnsi="Times New Roman"/>
          <w:b/>
          <w:sz w:val="22"/>
          <w:szCs w:val="22"/>
        </w:rPr>
        <w:t>1.4 SPECIFIC OBJECTIVES</w:t>
      </w:r>
    </w:p>
    <w:p>
      <w:pPr>
        <w:pStyle w:val="style0"/>
        <w:numPr>
          <w:ilvl w:val="0"/>
          <w:numId w:val="2"/>
        </w:numPr>
        <w:tabs>
          <w:tab w:val="left" w:leader="none" w:pos="420"/>
        </w:tabs>
        <w:spacing w:after="0" w:lineRule="auto" w:line="360"/>
        <w:rPr>
          <w:rFonts w:ascii="Times New Roman" w:cs="Times New Roman" w:eastAsia="Times New Roman" w:hAnsi="Times New Roman"/>
          <w:color w:val="000000"/>
          <w:sz w:val="22"/>
          <w:szCs w:val="22"/>
        </w:rPr>
      </w:pPr>
      <w:r>
        <w:rPr>
          <w:rFonts w:ascii="Times New Roman" w:cs="Times New Roman" w:eastAsia="Times New Roman" w:hAnsi="Times New Roman"/>
          <w:color w:val="000000"/>
          <w:sz w:val="22"/>
          <w:szCs w:val="22"/>
        </w:rPr>
        <w:t xml:space="preserve">Determine the frequency of HBV infection among expectant mothers at ESUT prenatal clinics and management of seropositive cases. </w:t>
      </w:r>
    </w:p>
    <w:p>
      <w:pPr>
        <w:pStyle w:val="style0"/>
        <w:numPr>
          <w:ilvl w:val="0"/>
          <w:numId w:val="2"/>
        </w:numPr>
        <w:tabs>
          <w:tab w:val="left" w:leader="none" w:pos="420"/>
        </w:tabs>
        <w:spacing w:after="0" w:lineRule="auto" w:line="360"/>
        <w:rPr>
          <w:rFonts w:ascii="Times New Roman" w:cs="Times New Roman" w:eastAsia="Times New Roman" w:hAnsi="Times New Roman"/>
          <w:color w:val="000000"/>
          <w:sz w:val="22"/>
          <w:szCs w:val="22"/>
        </w:rPr>
      </w:pPr>
      <w:r>
        <w:rPr>
          <w:rFonts w:ascii="Times New Roman" w:cs="Times New Roman" w:eastAsia="Times New Roman" w:hAnsi="Times New Roman"/>
          <w:color w:val="000000"/>
          <w:sz w:val="22"/>
          <w:szCs w:val="22"/>
        </w:rPr>
        <w:t xml:space="preserve">Determine the liver function of seropositive women through the analysis of biochemical parameters vis-a-vis ALT, AST, ALP and Bilirubin. </w:t>
      </w:r>
    </w:p>
    <w:p>
      <w:pPr>
        <w:pStyle w:val="style0"/>
        <w:numPr>
          <w:ilvl w:val="0"/>
          <w:numId w:val="2"/>
        </w:numPr>
        <w:tabs>
          <w:tab w:val="left" w:leader="none" w:pos="420"/>
        </w:tabs>
        <w:spacing w:after="0" w:lineRule="auto" w:line="360"/>
        <w:rPr>
          <w:rFonts w:ascii="Times New Roman" w:cs="Times New Roman" w:eastAsia="Times New Roman" w:hAnsi="Times New Roman"/>
          <w:color w:val="000000"/>
          <w:sz w:val="22"/>
          <w:szCs w:val="22"/>
        </w:rPr>
      </w:pPr>
      <w:r>
        <w:rPr>
          <w:rFonts w:ascii="Times New Roman" w:cs="Times New Roman" w:eastAsia="Times New Roman" w:hAnsi="Times New Roman"/>
          <w:color w:val="000000"/>
          <w:sz w:val="22"/>
          <w:szCs w:val="22"/>
        </w:rPr>
        <w:t xml:space="preserve">Determine the risk factors for HBV infection among ESUT pregnant women, such as shared personal hygiene products, unprotected sexual contact, history of blood transfusions or injections, and perinatal transmission. </w:t>
      </w:r>
    </w:p>
    <w:p>
      <w:pPr>
        <w:pStyle w:val="style0"/>
        <w:numPr>
          <w:ilvl w:val="0"/>
          <w:numId w:val="2"/>
        </w:numPr>
        <w:spacing w:after="0" w:lineRule="auto" w:line="360"/>
        <w:rPr>
          <w:rFonts w:ascii="Times New Roman" w:cs="Times New Roman" w:eastAsia="Times New Roman" w:hAnsi="Times New Roman"/>
          <w:color w:val="000000"/>
          <w:sz w:val="22"/>
          <w:szCs w:val="22"/>
        </w:rPr>
      </w:pPr>
      <w:r>
        <w:rPr>
          <w:rFonts w:ascii="Times New Roman" w:cs="Times New Roman" w:eastAsia="Times New Roman" w:hAnsi="Times New Roman"/>
          <w:color w:val="000000"/>
          <w:sz w:val="22"/>
          <w:szCs w:val="22"/>
        </w:rPr>
        <w:t>Evaluate the knowledge, attitudes, and practices of pregnant women on testing, vaccination, prevention, and current HBV preventive measures.</w:t>
      </w:r>
    </w:p>
    <w:p>
      <w:pPr>
        <w:pStyle w:val="style0"/>
        <w:spacing w:after="0" w:lineRule="auto" w:line="360"/>
        <w:ind w:left="360"/>
        <w:rPr>
          <w:rFonts w:ascii="Times New Roman" w:cs="Times New Roman" w:eastAsia="Times New Roman" w:hAnsi="Times New Roman"/>
          <w:color w:val="000000"/>
          <w:sz w:val="22"/>
          <w:szCs w:val="22"/>
        </w:rPr>
      </w:pPr>
    </w:p>
    <w:p>
      <w:pPr>
        <w:pStyle w:val="style0"/>
        <w:spacing w:lineRule="auto" w:line="360"/>
        <w:jc w:val="center"/>
        <w:rPr>
          <w:rFonts w:ascii="Times New Roman" w:cs="Times New Roman" w:eastAsia="Times New Roman" w:hAnsi="Times New Roman"/>
          <w:b/>
          <w:bCs/>
          <w:color w:val="000000"/>
          <w:sz w:val="22"/>
          <w:szCs w:val="22"/>
        </w:rPr>
      </w:pPr>
      <w:r>
        <w:rPr>
          <w:rFonts w:ascii="Times New Roman" w:cs="Times New Roman" w:eastAsia="Times New Roman" w:hAnsi="Times New Roman"/>
          <w:b/>
          <w:bCs/>
          <w:color w:val="000000"/>
          <w:sz w:val="22"/>
          <w:szCs w:val="22"/>
        </w:rPr>
        <w:t>METHODOLOGY</w:t>
      </w:r>
    </w:p>
    <w:p>
      <w:pPr>
        <w:pStyle w:val="style0"/>
        <w:spacing w:lineRule="auto" w:line="360"/>
        <w:rPr>
          <w:rFonts w:ascii="Times New Roman" w:cs="Times New Roman" w:eastAsia="Times New Roman" w:hAnsi="Times New Roman"/>
          <w:color w:val="000000"/>
          <w:sz w:val="22"/>
          <w:szCs w:val="22"/>
        </w:rPr>
      </w:pPr>
      <w:r>
        <w:rPr>
          <w:rFonts w:ascii="Times New Roman" w:cs="Times New Roman" w:eastAsia="Times New Roman" w:hAnsi="Times New Roman"/>
          <w:b/>
          <w:bCs/>
          <w:color w:val="000000"/>
          <w:sz w:val="22"/>
          <w:szCs w:val="22"/>
        </w:rPr>
        <w:t>RESEARCH DESIGN:</w:t>
      </w:r>
      <w:r>
        <w:rPr>
          <w:rFonts w:ascii="Times New Roman" w:cs="Times New Roman" w:eastAsia="Times New Roman" w:hAnsi="Times New Roman"/>
          <w:color w:val="000000"/>
          <w:sz w:val="22"/>
          <w:szCs w:val="22"/>
        </w:rPr>
        <w:t xml:space="preserve"> The chosen research design is a mixed cross-sectional design.</w:t>
      </w:r>
    </w:p>
    <w:p>
      <w:pPr>
        <w:pStyle w:val="style0"/>
        <w:spacing w:lineRule="auto" w:line="360"/>
        <w:rPr>
          <w:rFonts w:ascii="Times New Roman" w:cs="Times New Roman" w:eastAsia="Times New Roman" w:hAnsi="Times New Roman"/>
          <w:color w:val="000000"/>
          <w:sz w:val="22"/>
          <w:szCs w:val="22"/>
        </w:rPr>
      </w:pPr>
      <w:r>
        <w:rPr>
          <w:rFonts w:ascii="Times New Roman" w:cs="Times New Roman" w:eastAsia="Times New Roman" w:hAnsi="Times New Roman"/>
          <w:color w:val="000000"/>
          <w:sz w:val="22"/>
          <w:szCs w:val="22"/>
        </w:rPr>
        <w:t>This is recommended as we will be combining both quantitative and qualitative methods to gather data at a single point in time.</w:t>
      </w:r>
    </w:p>
    <w:p>
      <w:pPr>
        <w:pStyle w:val="style0"/>
        <w:spacing w:lineRule="auto" w:line="360"/>
        <w:rPr>
          <w:rFonts w:ascii="Times New Roman" w:cs="Times New Roman" w:eastAsia="Times New Roman" w:hAnsi="Times New Roman"/>
          <w:color w:val="000000"/>
          <w:sz w:val="22"/>
          <w:szCs w:val="22"/>
        </w:rPr>
      </w:pPr>
    </w:p>
    <w:p>
      <w:pPr>
        <w:pStyle w:val="style0"/>
        <w:spacing w:lineRule="auto" w:line="360"/>
        <w:rPr>
          <w:rFonts w:ascii="Times New Roman" w:cs="Times New Roman" w:eastAsia="Times New Roman" w:hAnsi="Times New Roman"/>
          <w:color w:val="000000"/>
          <w:sz w:val="22"/>
          <w:szCs w:val="22"/>
        </w:rPr>
      </w:pPr>
      <w:r>
        <w:rPr>
          <w:rFonts w:ascii="Times New Roman" w:cs="Times New Roman" w:eastAsia="Times New Roman" w:hAnsi="Times New Roman"/>
          <w:b/>
          <w:bCs/>
          <w:color w:val="000000"/>
          <w:sz w:val="22"/>
          <w:szCs w:val="22"/>
        </w:rPr>
        <w:t xml:space="preserve">STUDY POPULATION:  </w:t>
      </w:r>
      <w:r>
        <w:rPr>
          <w:rFonts w:ascii="Times New Roman" w:cs="Times New Roman" w:eastAsia="Times New Roman" w:hAnsi="Times New Roman"/>
          <w:color w:val="000000"/>
          <w:sz w:val="22"/>
          <w:szCs w:val="22"/>
        </w:rPr>
        <w:t xml:space="preserve">All expectant mothers who attended the ESUT Parklane Hospital's antenatal care (ANC) clinic in Enugu, Nigeria, throughout the study period. </w:t>
      </w:r>
    </w:p>
    <w:p>
      <w:pPr>
        <w:pStyle w:val="style0"/>
        <w:spacing w:lineRule="auto" w:line="360"/>
        <w:rPr>
          <w:rFonts w:ascii="Times New Roman" w:cs="Times New Roman" w:eastAsia="Times New Roman" w:hAnsi="Times New Roman"/>
          <w:color w:val="000000"/>
          <w:sz w:val="22"/>
          <w:szCs w:val="22"/>
        </w:rPr>
      </w:pPr>
      <w:r>
        <w:rPr>
          <w:rFonts w:ascii="Times New Roman" w:cs="Times New Roman" w:eastAsia="Times New Roman" w:hAnsi="Times New Roman"/>
          <w:color w:val="000000"/>
          <w:sz w:val="22"/>
          <w:szCs w:val="22"/>
        </w:rPr>
        <w:t xml:space="preserve">•Inclusion criteria:  Pregnant women who are willing to engage and give informed consent. </w:t>
      </w:r>
    </w:p>
    <w:p>
      <w:pPr>
        <w:pStyle w:val="style0"/>
        <w:spacing w:lineRule="auto" w:line="360"/>
        <w:rPr>
          <w:rFonts w:ascii="Times New Roman" w:cs="Times New Roman" w:eastAsia="Times New Roman" w:hAnsi="Times New Roman"/>
          <w:color w:val="000000"/>
          <w:sz w:val="22"/>
          <w:szCs w:val="22"/>
        </w:rPr>
      </w:pPr>
      <w:r>
        <w:rPr>
          <w:rFonts w:ascii="Times New Roman" w:cs="Times New Roman" w:eastAsia="Times New Roman" w:hAnsi="Times New Roman"/>
          <w:color w:val="000000"/>
          <w:sz w:val="22"/>
          <w:szCs w:val="22"/>
        </w:rPr>
        <w:t xml:space="preserve">•Exclusion criteria: Refusal to participate or insufficient data. </w:t>
      </w:r>
    </w:p>
    <w:p>
      <w:pPr>
        <w:pStyle w:val="style0"/>
        <w:spacing w:lineRule="auto" w:line="360"/>
        <w:rPr>
          <w:rFonts w:ascii="Times New Roman" w:cs="Times New Roman" w:eastAsia="Times New Roman" w:hAnsi="Times New Roman"/>
          <w:color w:val="000000"/>
          <w:sz w:val="22"/>
          <w:szCs w:val="22"/>
        </w:rPr>
      </w:pPr>
    </w:p>
    <w:p>
      <w:pPr>
        <w:pStyle w:val="style0"/>
        <w:spacing w:lineRule="auto" w:line="360"/>
        <w:rPr>
          <w:rFonts w:ascii="Times New Roman" w:cs="Times New Roman" w:eastAsia="Times New Roman" w:hAnsi="Times New Roman"/>
          <w:color w:val="000000"/>
          <w:sz w:val="22"/>
          <w:szCs w:val="22"/>
        </w:rPr>
      </w:pPr>
      <w:r>
        <w:rPr>
          <w:rFonts w:ascii="Times New Roman" w:cs="Times New Roman" w:eastAsia="Times New Roman" w:hAnsi="Times New Roman"/>
          <w:b/>
          <w:bCs/>
          <w:color w:val="000000"/>
          <w:sz w:val="22"/>
          <w:szCs w:val="22"/>
        </w:rPr>
        <w:t xml:space="preserve">STUDY AREA: </w:t>
      </w:r>
      <w:r>
        <w:rPr>
          <w:rFonts w:ascii="Times New Roman" w:cs="Times New Roman" w:eastAsia="Times New Roman" w:hAnsi="Times New Roman"/>
          <w:color w:val="000000"/>
          <w:sz w:val="22"/>
          <w:szCs w:val="22"/>
        </w:rPr>
        <w:t>The study area is Enugu State University Teaching Hospital Parklane Enugu, Nigeria. Which is situated near Shoprite (Shopping Plaza) in the center of Enugu (Coal City) GRA. The hospital is run by the Enugu state government and has several accolades from various health agencies.</w:t>
      </w:r>
    </w:p>
    <w:p>
      <w:pPr>
        <w:pStyle w:val="style0"/>
        <w:spacing w:lineRule="auto" w:line="360"/>
        <w:rPr>
          <w:rFonts w:ascii="Times New Roman" w:cs="Times New Roman" w:eastAsia="Times New Roman" w:hAnsi="Times New Roman"/>
          <w:color w:val="000000"/>
          <w:sz w:val="22"/>
          <w:szCs w:val="22"/>
        </w:rPr>
      </w:pPr>
    </w:p>
    <w:p>
      <w:pPr>
        <w:pStyle w:val="style0"/>
        <w:spacing w:lineRule="auto" w:line="360"/>
        <w:rPr>
          <w:rFonts w:ascii="Times New Roman" w:cs="Times New Roman" w:eastAsia="Times New Roman" w:hAnsi="Times New Roman"/>
          <w:color w:val="000000"/>
          <w:sz w:val="22"/>
          <w:szCs w:val="22"/>
        </w:rPr>
      </w:pPr>
      <w:r>
        <w:rPr>
          <w:rFonts w:ascii="Times New Roman" w:cs="Times New Roman" w:eastAsia="Times New Roman" w:hAnsi="Times New Roman"/>
          <w:b/>
          <w:bCs/>
          <w:color w:val="000000"/>
          <w:sz w:val="22"/>
          <w:szCs w:val="22"/>
        </w:rPr>
        <w:t>SAMPLE SIZE</w:t>
      </w:r>
      <w:r>
        <w:rPr>
          <w:rFonts w:ascii="Times New Roman" w:cs="Times New Roman" w:eastAsia="Times New Roman" w:hAnsi="Times New Roman"/>
          <w:color w:val="000000"/>
          <w:sz w:val="22"/>
          <w:szCs w:val="22"/>
        </w:rPr>
        <w:t xml:space="preserve">: Using an appropriate sample size calculator from calaculator.net and considering prevalence estimates from previous studies on HBV infection among pregnant women in Nigeria (around 14.1%) and a desired margin of error of not less than 5%, a sample size of 110 was determined and shall be recruited for this study. </w:t>
      </w:r>
    </w:p>
    <w:p>
      <w:pPr>
        <w:pStyle w:val="style0"/>
        <w:spacing w:lineRule="auto" w:line="360"/>
        <w:rPr>
          <w:rFonts w:ascii="Times New Roman" w:cs="Times New Roman" w:eastAsia="Times New Roman" w:hAnsi="Times New Roman"/>
          <w:color w:val="000000"/>
          <w:sz w:val="22"/>
          <w:szCs w:val="22"/>
        </w:rPr>
      </w:pPr>
      <w:r>
        <w:rPr>
          <w:rFonts w:ascii="Times New Roman" w:cs="Times New Roman" w:eastAsia="Times New Roman" w:hAnsi="Times New Roman"/>
          <w:color w:val="000000"/>
          <w:kern w:val="2"/>
          <w:sz w:val="22"/>
          <w:szCs w:val="22"/>
        </w:rPr>
        <w:t xml:space="preserve">Using the Cochrane Sample Size formula </w:t>
      </w:r>
    </w:p>
    <w:p>
      <w:pPr>
        <w:pStyle w:val="style0"/>
        <w:spacing w:lineRule="auto" w:line="360"/>
        <w:rPr>
          <w:rFonts w:ascii="Times New Roman" w:cs="Times New Roman" w:eastAsia="Times New Roman" w:hAnsi="Times New Roman"/>
          <w:color w:val="000000"/>
          <w:sz w:val="22"/>
          <w:szCs w:val="22"/>
        </w:rPr>
      </w:pPr>
      <w:r>
        <w:rPr>
          <w:rFonts w:ascii="Times New Roman" w:cs="Times New Roman" w:eastAsia="Times New Roman" w:hAnsi="Times New Roman"/>
          <w:b/>
          <w:bCs/>
          <w:color w:val="000000"/>
          <w:kern w:val="2"/>
          <w:sz w:val="22"/>
          <w:szCs w:val="22"/>
        </w:rPr>
        <w:t xml:space="preserve">n=√(N×Z² ×p×q) ÷ (E² × (N-1)+ Z²×p×q) </w:t>
      </w:r>
    </w:p>
    <w:p>
      <w:pPr>
        <w:pStyle w:val="style0"/>
        <w:spacing w:lineRule="auto" w:line="360"/>
        <w:rPr>
          <w:rFonts w:ascii="Times New Roman" w:cs="Times New Roman" w:eastAsia="Times New Roman" w:hAnsi="Times New Roman"/>
          <w:color w:val="000000"/>
          <w:sz w:val="22"/>
          <w:szCs w:val="22"/>
        </w:rPr>
      </w:pPr>
      <w:r>
        <w:rPr>
          <w:rFonts w:ascii="Times New Roman" w:cs="Times New Roman" w:eastAsia="Times New Roman" w:hAnsi="Times New Roman"/>
          <w:color w:val="000000"/>
          <w:kern w:val="2"/>
          <w:sz w:val="22"/>
          <w:szCs w:val="22"/>
        </w:rPr>
        <w:t xml:space="preserve">where N= estimated population size of ESUT =2000 </w:t>
      </w:r>
    </w:p>
    <w:p>
      <w:pPr>
        <w:pStyle w:val="style0"/>
        <w:spacing w:lineRule="auto" w:line="360"/>
        <w:rPr>
          <w:rFonts w:ascii="Times New Roman" w:cs="Times New Roman" w:eastAsia="Times New Roman" w:hAnsi="Times New Roman"/>
          <w:color w:val="000000"/>
          <w:sz w:val="22"/>
          <w:szCs w:val="22"/>
        </w:rPr>
      </w:pPr>
      <w:r>
        <w:rPr>
          <w:rFonts w:ascii="Times New Roman" w:cs="Times New Roman" w:eastAsia="Times New Roman" w:hAnsi="Times New Roman"/>
          <w:color w:val="000000"/>
          <w:kern w:val="2"/>
          <w:sz w:val="22"/>
          <w:szCs w:val="22"/>
        </w:rPr>
        <w:t>Z= Confidence Interval= 1.96 or 95%</w:t>
      </w:r>
    </w:p>
    <w:p>
      <w:pPr>
        <w:pStyle w:val="style0"/>
        <w:spacing w:lineRule="auto" w:line="360"/>
        <w:rPr>
          <w:rFonts w:ascii="Times New Roman" w:cs="Times New Roman" w:eastAsia="Times New Roman" w:hAnsi="Times New Roman"/>
          <w:color w:val="000000"/>
          <w:sz w:val="22"/>
          <w:szCs w:val="22"/>
        </w:rPr>
      </w:pPr>
      <w:r>
        <w:rPr>
          <w:rFonts w:ascii="Times New Roman" w:cs="Times New Roman" w:eastAsia="Times New Roman" w:hAnsi="Times New Roman"/>
          <w:color w:val="000000"/>
          <w:kern w:val="2"/>
          <w:sz w:val="22"/>
          <w:szCs w:val="22"/>
        </w:rPr>
        <w:t>p = estimated proportion of the population (maternity ward)= 10% or 0.1</w:t>
      </w:r>
    </w:p>
    <w:p>
      <w:pPr>
        <w:pStyle w:val="style0"/>
        <w:spacing w:lineRule="auto" w:line="360"/>
        <w:rPr>
          <w:rFonts w:ascii="Times New Roman" w:cs="Times New Roman" w:eastAsia="Times New Roman" w:hAnsi="Times New Roman"/>
          <w:color w:val="000000"/>
          <w:sz w:val="22"/>
          <w:szCs w:val="22"/>
        </w:rPr>
      </w:pPr>
      <w:r>
        <w:rPr>
          <w:rFonts w:ascii="Times New Roman" w:cs="Times New Roman" w:eastAsia="Times New Roman" w:hAnsi="Times New Roman"/>
          <w:color w:val="000000"/>
          <w:kern w:val="2"/>
          <w:sz w:val="22"/>
          <w:szCs w:val="22"/>
        </w:rPr>
        <w:t>q = estimated proportion of population not being studied= 90% or 0.9</w:t>
      </w:r>
    </w:p>
    <w:p>
      <w:pPr>
        <w:pStyle w:val="style0"/>
        <w:spacing w:lineRule="auto" w:line="360"/>
        <w:rPr>
          <w:rFonts w:ascii="Times New Roman" w:cs="Times New Roman" w:eastAsia="Times New Roman" w:hAnsi="Times New Roman"/>
          <w:color w:val="000000"/>
          <w:sz w:val="22"/>
          <w:szCs w:val="22"/>
        </w:rPr>
      </w:pPr>
      <w:r>
        <w:rPr>
          <w:rFonts w:ascii="Times New Roman" w:cs="Times New Roman" w:eastAsia="Times New Roman" w:hAnsi="Times New Roman"/>
          <w:color w:val="000000"/>
          <w:kern w:val="2"/>
          <w:sz w:val="22"/>
          <w:szCs w:val="22"/>
        </w:rPr>
        <w:t>E= margin of error = 0.056</w:t>
      </w:r>
    </w:p>
    <w:p>
      <w:pPr>
        <w:pStyle w:val="style0"/>
        <w:spacing w:lineRule="auto" w:line="360"/>
        <w:jc w:val="center"/>
        <w:rPr>
          <w:rFonts w:ascii="Times New Roman" w:cs="Times New Roman" w:eastAsia="Times New Roman" w:hAnsi="Times New Roman"/>
          <w:color w:val="000000"/>
          <w:sz w:val="22"/>
          <w:szCs w:val="22"/>
        </w:rPr>
      </w:pPr>
      <w:r>
        <w:rPr>
          <w:rFonts w:ascii="Times New Roman" w:cs="Times New Roman" w:eastAsia="Times New Roman" w:hAnsi="Times New Roman"/>
          <w:b/>
          <w:bCs/>
          <w:color w:val="000000"/>
          <w:kern w:val="2"/>
          <w:sz w:val="22"/>
          <w:szCs w:val="22"/>
        </w:rPr>
        <w:t>SS = 110 participants</w:t>
      </w:r>
    </w:p>
    <w:p>
      <w:pPr>
        <w:pStyle w:val="style0"/>
        <w:spacing w:lineRule="auto" w:line="360"/>
        <w:rPr>
          <w:rFonts w:ascii="Times New Roman" w:cs="Times New Roman" w:eastAsia="Times New Roman" w:hAnsi="Times New Roman"/>
          <w:color w:val="000000"/>
          <w:sz w:val="22"/>
          <w:szCs w:val="22"/>
        </w:rPr>
      </w:pPr>
    </w:p>
    <w:p>
      <w:pPr>
        <w:pStyle w:val="style0"/>
        <w:spacing w:lineRule="auto" w:line="360"/>
        <w:rPr>
          <w:rFonts w:ascii="Times New Roman" w:cs="Times New Roman" w:eastAsia="Times New Roman" w:hAnsi="Times New Roman"/>
          <w:color w:val="000000"/>
          <w:sz w:val="22"/>
          <w:szCs w:val="22"/>
        </w:rPr>
      </w:pPr>
    </w:p>
    <w:p>
      <w:pPr>
        <w:pStyle w:val="style0"/>
        <w:spacing w:lineRule="auto" w:line="360"/>
        <w:rPr>
          <w:rFonts w:ascii="Times New Roman" w:cs="Times New Roman" w:eastAsia="Times New Roman" w:hAnsi="Times New Roman"/>
          <w:b/>
          <w:bCs/>
          <w:color w:val="000000"/>
          <w:sz w:val="22"/>
          <w:szCs w:val="22"/>
        </w:rPr>
      </w:pPr>
      <w:r>
        <w:rPr>
          <w:rFonts w:ascii="Times New Roman" w:cs="Times New Roman" w:eastAsia="Times New Roman" w:hAnsi="Times New Roman"/>
          <w:b/>
          <w:bCs/>
          <w:color w:val="000000"/>
          <w:sz w:val="22"/>
          <w:szCs w:val="22"/>
        </w:rPr>
        <w:t>DATA COLLECTION:</w:t>
      </w:r>
    </w:p>
    <w:p>
      <w:pPr>
        <w:pStyle w:val="style0"/>
        <w:spacing w:lineRule="auto" w:line="360"/>
        <w:rPr>
          <w:rFonts w:ascii="Times New Roman" w:cs="Times New Roman" w:eastAsia="Times New Roman" w:hAnsi="Times New Roman"/>
          <w:color w:val="000000"/>
          <w:sz w:val="22"/>
          <w:szCs w:val="22"/>
        </w:rPr>
      </w:pPr>
      <w:r>
        <w:rPr>
          <w:rFonts w:ascii="Times New Roman" w:cs="Times New Roman" w:eastAsia="Times New Roman" w:hAnsi="Times New Roman"/>
          <w:b/>
          <w:bCs/>
          <w:color w:val="000000"/>
          <w:sz w:val="22"/>
          <w:szCs w:val="22"/>
        </w:rPr>
        <w:t xml:space="preserve">Duration: </w:t>
      </w:r>
      <w:r>
        <w:rPr>
          <w:rFonts w:ascii="Times New Roman" w:cs="Times New Roman" w:eastAsia="Times New Roman" w:hAnsi="Times New Roman"/>
          <w:color w:val="000000"/>
          <w:sz w:val="22"/>
          <w:szCs w:val="22"/>
        </w:rPr>
        <w:t>Data was collected over (3) months that is, September – November 2024.</w:t>
      </w:r>
    </w:p>
    <w:p>
      <w:pPr>
        <w:pStyle w:val="style0"/>
        <w:spacing w:lineRule="auto" w:line="360"/>
        <w:rPr>
          <w:rFonts w:ascii="Times New Roman" w:cs="Times New Roman" w:eastAsia="Times New Roman" w:hAnsi="Times New Roman"/>
          <w:b/>
          <w:bCs/>
          <w:color w:val="000000"/>
          <w:sz w:val="22"/>
          <w:szCs w:val="22"/>
        </w:rPr>
      </w:pPr>
      <w:r>
        <w:rPr>
          <w:rFonts w:ascii="Times New Roman" w:cs="Times New Roman" w:eastAsia="Times New Roman" w:hAnsi="Times New Roman"/>
          <w:b/>
          <w:bCs/>
          <w:color w:val="000000"/>
          <w:sz w:val="22"/>
          <w:szCs w:val="22"/>
        </w:rPr>
        <w:t xml:space="preserve">Data collection tools: </w:t>
      </w:r>
    </w:p>
    <w:p>
      <w:pPr>
        <w:pStyle w:val="style0"/>
        <w:spacing w:lineRule="auto" w:line="360"/>
        <w:rPr>
          <w:rFonts w:ascii="Times New Roman" w:cs="Times New Roman" w:eastAsia="Times New Roman" w:hAnsi="Times New Roman"/>
          <w:color w:val="000000"/>
          <w:sz w:val="22"/>
          <w:szCs w:val="22"/>
        </w:rPr>
      </w:pPr>
      <w:r>
        <w:rPr>
          <w:rFonts w:ascii="Times New Roman" w:cs="Times New Roman" w:eastAsia="Times New Roman" w:hAnsi="Times New Roman"/>
          <w:color w:val="000000"/>
          <w:sz w:val="22"/>
          <w:szCs w:val="22"/>
        </w:rPr>
        <w:t xml:space="preserve">A standard questionnaire designed to gather data on sociodemographic factors such as age, marital status, and education levels along with an assessment of their knowledge, attitudes and practices regarding hepatitis B infection shall be drafted and distributed amongst the recruited participants. </w:t>
      </w:r>
    </w:p>
    <w:p>
      <w:pPr>
        <w:pStyle w:val="style0"/>
        <w:spacing w:lineRule="auto" w:line="360"/>
        <w:rPr>
          <w:rFonts w:ascii="Times New Roman" w:cs="Times New Roman" w:eastAsia="Times New Roman" w:hAnsi="Times New Roman"/>
          <w:color w:val="000000"/>
          <w:sz w:val="22"/>
          <w:szCs w:val="22"/>
        </w:rPr>
      </w:pPr>
      <w:r>
        <w:rPr>
          <w:rFonts w:ascii="Times New Roman" w:cs="Times New Roman" w:eastAsia="Times New Roman" w:hAnsi="Times New Roman"/>
          <w:color w:val="000000"/>
          <w:sz w:val="22"/>
          <w:szCs w:val="22"/>
        </w:rPr>
        <w:t xml:space="preserve">To determine the serological status, participants will be screened for HbsAg seropositivity and if reactive, liver function tests shall be conducted for them to evaluate disease progression indicated by increased serum glutamic pyruvic transaminase (SGPT) levels. </w:t>
      </w:r>
    </w:p>
    <w:p>
      <w:pPr>
        <w:pStyle w:val="style0"/>
        <w:spacing w:lineRule="auto" w:line="360"/>
        <w:rPr>
          <w:rFonts w:ascii="Times New Roman" w:cs="Times New Roman" w:eastAsia="Times New Roman" w:hAnsi="Times New Roman"/>
          <w:color w:val="000000"/>
          <w:sz w:val="22"/>
          <w:szCs w:val="22"/>
        </w:rPr>
      </w:pPr>
      <w:r>
        <w:rPr>
          <w:rFonts w:ascii="Times New Roman" w:cs="Times New Roman" w:eastAsia="Times New Roman" w:hAnsi="Times New Roman"/>
          <w:b/>
          <w:bCs/>
          <w:color w:val="000000"/>
          <w:sz w:val="22"/>
          <w:szCs w:val="22"/>
        </w:rPr>
        <w:t xml:space="preserve">Data collectors: </w:t>
      </w:r>
      <w:r>
        <w:rPr>
          <w:rFonts w:ascii="Times New Roman" w:cs="Times New Roman" w:eastAsia="Times New Roman" w:hAnsi="Times New Roman"/>
          <w:color w:val="000000"/>
          <w:sz w:val="22"/>
          <w:szCs w:val="22"/>
        </w:rPr>
        <w:t>Trained research assistants familiar with informed consent procedures and data collection techniques shall be recruited for sample collection and questionnaire distribution.</w:t>
      </w:r>
    </w:p>
    <w:p>
      <w:pPr>
        <w:pStyle w:val="style0"/>
        <w:spacing w:lineRule="auto" w:line="360"/>
        <w:rPr>
          <w:rFonts w:ascii="Times New Roman" w:cs="Times New Roman" w:eastAsia="Times New Roman" w:hAnsi="Times New Roman"/>
          <w:color w:val="000000"/>
          <w:sz w:val="22"/>
          <w:szCs w:val="22"/>
        </w:rPr>
      </w:pPr>
    </w:p>
    <w:p>
      <w:pPr>
        <w:pStyle w:val="style0"/>
        <w:spacing w:lineRule="auto" w:line="360"/>
        <w:rPr>
          <w:rFonts w:ascii="Times New Roman" w:cs="Times New Roman" w:eastAsia="Times New Roman" w:hAnsi="Times New Roman"/>
          <w:color w:val="000000"/>
          <w:sz w:val="22"/>
          <w:szCs w:val="22"/>
        </w:rPr>
      </w:pPr>
      <w:r>
        <w:rPr>
          <w:rFonts w:ascii="Times New Roman" w:cs="Times New Roman" w:eastAsia="Times New Roman" w:hAnsi="Times New Roman"/>
          <w:b/>
          <w:bCs/>
          <w:color w:val="000000"/>
          <w:sz w:val="22"/>
          <w:szCs w:val="22"/>
        </w:rPr>
        <w:t xml:space="preserve"> SAMPLE COLLECTION</w:t>
      </w:r>
      <w:r>
        <w:rPr>
          <w:rFonts w:ascii="Times New Roman" w:cs="Times New Roman" w:eastAsia="Times New Roman" w:hAnsi="Times New Roman"/>
          <w:color w:val="000000"/>
          <w:sz w:val="22"/>
          <w:szCs w:val="22"/>
        </w:rPr>
        <w:t>: About 4mls of venous blood was collected with precision and care into plain sample containers. After about 10 minutes at room temperature, the samples are spun and the serum obtained is separated into new sets of plain tubes for analysis.</w:t>
      </w:r>
    </w:p>
    <w:p>
      <w:pPr>
        <w:pStyle w:val="style0"/>
        <w:spacing w:lineRule="auto" w:line="360"/>
        <w:rPr>
          <w:rFonts w:ascii="Times New Roman" w:cs="Times New Roman" w:eastAsia="Times New Roman" w:hAnsi="Times New Roman"/>
          <w:color w:val="000000"/>
          <w:sz w:val="22"/>
          <w:szCs w:val="22"/>
        </w:rPr>
      </w:pPr>
      <w:r>
        <w:rPr>
          <w:rFonts w:ascii="Times New Roman" w:cs="Times New Roman" w:eastAsia="Times New Roman" w:hAnsi="Times New Roman"/>
          <w:b/>
          <w:bCs/>
          <w:color w:val="000000"/>
          <w:sz w:val="22"/>
          <w:szCs w:val="22"/>
        </w:rPr>
        <w:t xml:space="preserve">SAMPLE ANALYSIS: </w:t>
      </w:r>
      <w:r>
        <w:rPr>
          <w:rFonts w:ascii="Times New Roman" w:cs="Times New Roman" w:eastAsia="Times New Roman" w:hAnsi="Times New Roman"/>
          <w:color w:val="000000"/>
          <w:sz w:val="22"/>
          <w:szCs w:val="22"/>
        </w:rPr>
        <w:t>HbsAg test strips with the brand name: Palmatec, were used to run tests alongside positive and negative controls, following standard operating procedures for POCT testing according to ISO:15189; 2022.</w:t>
      </w:r>
    </w:p>
    <w:p>
      <w:pPr>
        <w:pStyle w:val="style0"/>
        <w:spacing w:lineRule="auto" w:line="360"/>
        <w:rPr>
          <w:rFonts w:ascii="Times New Roman" w:cs="Times New Roman" w:eastAsia="Times New Roman" w:hAnsi="Times New Roman"/>
          <w:color w:val="000000"/>
          <w:sz w:val="22"/>
          <w:szCs w:val="22"/>
        </w:rPr>
      </w:pPr>
      <w:r>
        <w:rPr>
          <w:rFonts w:ascii="Times New Roman" w:cs="Times New Roman" w:eastAsia="Times New Roman" w:hAnsi="Times New Roman"/>
          <w:color w:val="000000"/>
          <w:sz w:val="22"/>
          <w:szCs w:val="22"/>
        </w:rPr>
        <w:t>Sero-positive samples were analyzed for liver function analytes with an automated chemistry analyzer- Selectra with special emphasis on ALT and AST levels.</w:t>
      </w:r>
    </w:p>
    <w:p>
      <w:pPr>
        <w:pStyle w:val="style0"/>
        <w:spacing w:lineRule="auto" w:line="360"/>
        <w:rPr>
          <w:rFonts w:ascii="Times New Roman" w:cs="Times New Roman" w:eastAsia="Times New Roman" w:hAnsi="Times New Roman"/>
          <w:color w:val="000000"/>
          <w:sz w:val="22"/>
          <w:szCs w:val="22"/>
        </w:rPr>
      </w:pPr>
    </w:p>
    <w:p>
      <w:pPr>
        <w:pStyle w:val="style0"/>
        <w:spacing w:lineRule="auto" w:line="360"/>
        <w:rPr>
          <w:rFonts w:ascii="Times New Roman" w:cs="Times New Roman" w:eastAsia="Times New Roman" w:hAnsi="Times New Roman"/>
          <w:b/>
          <w:bCs/>
          <w:color w:val="000000"/>
          <w:sz w:val="22"/>
          <w:szCs w:val="22"/>
        </w:rPr>
      </w:pPr>
      <w:r>
        <w:rPr>
          <w:rFonts w:ascii="Times New Roman" w:cs="Times New Roman" w:eastAsia="Times New Roman" w:hAnsi="Times New Roman"/>
          <w:b/>
          <w:bCs/>
          <w:color w:val="000000"/>
          <w:sz w:val="22"/>
          <w:szCs w:val="22"/>
        </w:rPr>
        <w:t xml:space="preserve"> DATA ANALYSIS:</w:t>
      </w:r>
    </w:p>
    <w:p>
      <w:pPr>
        <w:pStyle w:val="style0"/>
        <w:spacing w:lineRule="auto" w:line="360"/>
        <w:rPr>
          <w:rFonts w:ascii="Times New Roman" w:cs="Times New Roman" w:eastAsia="Times New Roman" w:hAnsi="Times New Roman"/>
          <w:color w:val="000000"/>
          <w:sz w:val="22"/>
          <w:szCs w:val="22"/>
        </w:rPr>
      </w:pPr>
      <w:r>
        <w:rPr>
          <w:rFonts w:ascii="Times New Roman" w:cs="Times New Roman" w:eastAsia="Times New Roman" w:hAnsi="Times New Roman"/>
          <w:color w:val="000000"/>
          <w:sz w:val="22"/>
          <w:szCs w:val="22"/>
        </w:rPr>
        <w:t xml:space="preserve"> Before analysis, the gathered data was prepared by cross-checking for missing information. Data collected was also anonymized to protect the confidentiality of participants. The data was then analyzed using the Statistical Package for Social Sciences SPSS. Descriptive statistics were used to summarize sociodemographic characteristics and HBV prevalence. Chi-square tests to assess associations between sociodemographic factors and HBV infection status was also done.</w:t>
      </w:r>
    </w:p>
    <w:p>
      <w:pPr>
        <w:pStyle w:val="style0"/>
        <w:spacing w:lineRule="auto" w:line="360"/>
        <w:rPr>
          <w:rFonts w:ascii="Times New Roman" w:cs="Times New Roman" w:eastAsia="Times New Roman" w:hAnsi="Times New Roman"/>
          <w:color w:val="000000"/>
          <w:sz w:val="22"/>
          <w:szCs w:val="22"/>
        </w:rPr>
      </w:pPr>
    </w:p>
    <w:p>
      <w:pPr>
        <w:pStyle w:val="style0"/>
        <w:spacing w:lineRule="auto" w:line="360"/>
        <w:rPr>
          <w:rFonts w:ascii="Times New Roman" w:cs="Times New Roman" w:eastAsia="Times New Roman" w:hAnsi="Times New Roman"/>
          <w:b/>
          <w:bCs/>
          <w:color w:val="000000"/>
          <w:sz w:val="22"/>
          <w:szCs w:val="22"/>
        </w:rPr>
      </w:pPr>
      <w:r>
        <w:rPr>
          <w:rFonts w:ascii="Times New Roman" w:cs="Times New Roman" w:eastAsia="Times New Roman" w:hAnsi="Times New Roman"/>
          <w:b/>
          <w:bCs/>
          <w:color w:val="000000"/>
          <w:sz w:val="22"/>
          <w:szCs w:val="22"/>
        </w:rPr>
        <w:t xml:space="preserve"> ETHICAL CONSIDERATION:</w:t>
      </w:r>
    </w:p>
    <w:p>
      <w:pPr>
        <w:pStyle w:val="style0"/>
        <w:spacing w:lineRule="auto" w:line="360"/>
        <w:rPr>
          <w:rFonts w:ascii="Times New Roman" w:cs="Times New Roman" w:eastAsia="Times New Roman" w:hAnsi="Times New Roman"/>
          <w:color w:val="000000"/>
          <w:sz w:val="22"/>
          <w:szCs w:val="22"/>
        </w:rPr>
      </w:pPr>
      <w:r>
        <w:rPr>
          <w:rFonts w:ascii="Times New Roman" w:cs="Times New Roman" w:eastAsia="Times New Roman" w:hAnsi="Times New Roman"/>
          <w:color w:val="000000"/>
          <w:sz w:val="22"/>
          <w:szCs w:val="22"/>
        </w:rPr>
        <w:t>The Health Research Ethics Committee at Enugu State University Teaching Hospital granted an ethical clearance certificate, reference number:</w:t>
      </w:r>
    </w:p>
    <w:p>
      <w:pPr>
        <w:pStyle w:val="style0"/>
        <w:spacing w:lineRule="auto" w:line="360"/>
        <w:rPr>
          <w:rFonts w:ascii="Times New Roman" w:cs="Times New Roman" w:eastAsia="Times New Roman" w:hAnsi="Times New Roman"/>
          <w:color w:val="000000"/>
          <w:sz w:val="22"/>
          <w:szCs w:val="22"/>
        </w:rPr>
        <w:sectPr>
          <w:type w:val="continuous"/>
          <w:pgSz w:w="12240" w:h="15840" w:orient="portrait"/>
          <w:pgMar w:top="1440" w:right="1440" w:bottom="1440" w:left="1440" w:header="720" w:footer="720" w:gutter="0"/>
          <w:cols w:space="720" w:num="2"/>
          <w:docGrid w:linePitch="360" w:charSpace="0"/>
        </w:sectPr>
      </w:pPr>
      <w:r>
        <w:rPr>
          <w:rFonts w:ascii="Times New Roman" w:cs="Times New Roman" w:eastAsia="Times New Roman" w:hAnsi="Times New Roman"/>
          <w:color w:val="000000"/>
          <w:sz w:val="22"/>
          <w:szCs w:val="22"/>
        </w:rPr>
        <w:t xml:space="preserve"> Participants in the research gave their consent after being duly informed. The anonymous recording and coding of blood samples and results guaranteed the confidentiality of the </w:t>
      </w:r>
    </w:p>
    <w:p>
      <w:pPr>
        <w:pStyle w:val="style0"/>
        <w:spacing w:lineRule="auto" w:line="360"/>
        <w:rPr>
          <w:rFonts w:ascii="Times New Roman" w:cs="Times New Roman" w:eastAsia="Times New Roman" w:hAnsi="Times New Roman"/>
          <w:color w:val="000000"/>
          <w:sz w:val="22"/>
          <w:szCs w:val="22"/>
        </w:rPr>
      </w:pPr>
      <w:r>
        <w:rPr>
          <w:rFonts w:ascii="Times New Roman" w:cs="Times New Roman" w:eastAsia="Times New Roman" w:hAnsi="Times New Roman"/>
          <w:color w:val="000000"/>
          <w:sz w:val="22"/>
          <w:szCs w:val="22"/>
        </w:rPr>
        <w:t>participants</w:t>
      </w:r>
    </w:p>
    <w:p>
      <w:pPr>
        <w:pStyle w:val="style0"/>
        <w:spacing w:after="0" w:lineRule="auto" w:line="360"/>
        <w:jc w:val="center"/>
        <w:rPr>
          <w:rFonts w:ascii="Times New Roman" w:cs="Times New Roman" w:eastAsia="SimSun" w:hAnsi="Times New Roman"/>
          <w:b/>
          <w:bCs/>
          <w:color w:val="222222"/>
          <w:sz w:val="22"/>
          <w:szCs w:val="22"/>
          <w:shd w:val="clear" w:color="auto" w:fill="ffffff"/>
        </w:rPr>
        <w:sectPr>
          <w:type w:val="continuous"/>
          <w:pgSz w:w="12240" w:h="15840" w:orient="portrait"/>
          <w:pgMar w:top="1440" w:right="1440" w:bottom="1440" w:left="1440" w:header="720" w:footer="720" w:gutter="0"/>
          <w:cols w:space="720" w:num="1"/>
          <w:docGrid w:linePitch="360" w:charSpace="0"/>
        </w:sectPr>
      </w:pPr>
    </w:p>
    <w:p>
      <w:pPr>
        <w:pStyle w:val="style0"/>
        <w:spacing w:after="0" w:lineRule="auto" w:line="360"/>
        <w:jc w:val="center"/>
        <w:rPr>
          <w:rFonts w:ascii="Times New Roman" w:cs="Times New Roman" w:eastAsia="SimSun" w:hAnsi="Times New Roman"/>
          <w:b/>
          <w:bCs/>
          <w:color w:val="222222"/>
          <w:sz w:val="22"/>
          <w:szCs w:val="22"/>
          <w:shd w:val="clear" w:color="auto" w:fill="ffffff"/>
        </w:rPr>
      </w:pPr>
      <w:r>
        <w:rPr>
          <w:rFonts w:ascii="Times New Roman" w:cs="Times New Roman" w:eastAsia="SimSun" w:hAnsi="Times New Roman"/>
          <w:b/>
          <w:bCs/>
          <w:color w:val="222222"/>
          <w:sz w:val="22"/>
          <w:szCs w:val="22"/>
          <w:shd w:val="clear" w:color="auto" w:fill="ffffff"/>
        </w:rPr>
        <w:t>RESULTS</w:t>
      </w:r>
    </w:p>
    <w:p>
      <w:pPr>
        <w:pStyle w:val="style0"/>
        <w:spacing w:lineRule="auto" w:line="360"/>
        <w:rPr>
          <w:rFonts w:ascii="Times New Roman" w:cs="Times New Roman" w:eastAsia="Times New Roman" w:hAnsi="Times New Roman"/>
          <w:b/>
          <w:sz w:val="22"/>
          <w:szCs w:val="22"/>
        </w:rPr>
      </w:pPr>
      <w:r>
        <w:rPr>
          <w:rFonts w:ascii="Times New Roman" w:cs="Times New Roman" w:eastAsia="Times New Roman" w:hAnsi="Times New Roman"/>
          <w:b/>
          <w:sz w:val="22"/>
          <w:szCs w:val="22"/>
        </w:rPr>
        <w:t>4.1</w:t>
        <w:tab/>
        <w:t>HEPATITIS B VIRUS AMONG PREGNANT WOMEN ATTENDING ANTENATAL CLINIC IN ESUT TEACHING HOSPITAL PARKLANE.</w:t>
      </w:r>
    </w:p>
    <w:p>
      <w:pPr>
        <w:pStyle w:val="style0"/>
        <w:spacing w:lineRule="auto" w:line="360"/>
        <w:jc w:val="both"/>
        <w:rPr>
          <w:rFonts w:ascii="Times New Roman" w:cs="Times New Roman" w:hAnsi="Times New Roman"/>
          <w:sz w:val="22"/>
          <w:szCs w:val="22"/>
        </w:rPr>
      </w:pPr>
      <w:r>
        <w:rPr>
          <w:rFonts w:ascii="Times New Roman" w:cs="Times New Roman" w:eastAsia="Times New Roman" w:hAnsi="Times New Roman"/>
          <w:sz w:val="22"/>
          <w:szCs w:val="22"/>
        </w:rPr>
        <w:t>One hundred and eleven (111) pregnant women were recruited for this study. 55% of the study population were between 26-35 years old while only 13.5% were between 36-45 years of age. The rest were between 15-25 years. 42.4% of the pregnant women had a university degree (B.Sc/B.A), while 41.4% had O’ level. Only 16.2% acquired primary school leaving certificate. 29.7%,</w:t>
      </w:r>
      <w:r>
        <w:rPr>
          <w:rFonts w:ascii="Times New Roman" w:cs="Times New Roman" w:hAnsi="Times New Roman"/>
          <w:sz w:val="22"/>
          <w:szCs w:val="22"/>
        </w:rPr>
        <w:t xml:space="preserve"> </w:t>
      </w:r>
      <w:r>
        <w:rPr>
          <w:rFonts w:ascii="Times New Roman" w:cs="Times New Roman" w:eastAsia="Times New Roman" w:hAnsi="Times New Roman"/>
          <w:sz w:val="22"/>
          <w:szCs w:val="22"/>
        </w:rPr>
        <w:t>24.3% and 30.6% of the pregnant women were civil servants, artisans and traders respectively while only14.5</w:t>
      </w:r>
      <w:r>
        <w:rPr>
          <w:rFonts w:ascii="Times New Roman" w:cs="Times New Roman" w:hAnsi="Times New Roman"/>
          <w:sz w:val="22"/>
          <w:szCs w:val="22"/>
        </w:rPr>
        <w:t xml:space="preserve">% and </w:t>
      </w:r>
      <w:r>
        <w:rPr>
          <w:rFonts w:ascii="Times New Roman" w:cs="Times New Roman" w:eastAsia="Times New Roman" w:hAnsi="Times New Roman"/>
          <w:sz w:val="22"/>
          <w:szCs w:val="22"/>
        </w:rPr>
        <w:t>0.9</w:t>
      </w:r>
      <w:r>
        <w:rPr>
          <w:rFonts w:ascii="Times New Roman" w:cs="Times New Roman" w:hAnsi="Times New Roman"/>
          <w:sz w:val="22"/>
          <w:szCs w:val="22"/>
        </w:rPr>
        <w:t>% were students and unemployed respectively. Majority of the women were married (</w:t>
      </w:r>
      <w:r>
        <w:rPr>
          <w:rFonts w:ascii="Times New Roman" w:cs="Times New Roman" w:eastAsia="Times New Roman" w:hAnsi="Times New Roman"/>
          <w:sz w:val="22"/>
          <w:szCs w:val="22"/>
        </w:rPr>
        <w:t>96.4%)</w:t>
      </w:r>
    </w:p>
    <w:p>
      <w:pPr>
        <w:pStyle w:val="style0"/>
        <w:spacing w:lineRule="auto" w:line="360"/>
        <w:jc w:val="both"/>
        <w:rPr>
          <w:rFonts w:ascii="Times New Roman" w:cs="Times New Roman" w:hAnsi="Times New Roman"/>
          <w:sz w:val="22"/>
          <w:szCs w:val="22"/>
        </w:rPr>
      </w:pPr>
      <w:r>
        <w:rPr>
          <w:rFonts w:ascii="Times New Roman" w:cs="Times New Roman" w:eastAsia="Times New Roman" w:hAnsi="Times New Roman"/>
          <w:sz w:val="22"/>
          <w:szCs w:val="22"/>
        </w:rPr>
        <w:t>As only 0.9% were divorced and 2.7% was widowed. 38.7</w:t>
      </w:r>
      <w:r>
        <w:rPr>
          <w:rFonts w:ascii="Times New Roman" w:cs="Times New Roman" w:hAnsi="Times New Roman"/>
          <w:sz w:val="22"/>
          <w:szCs w:val="22"/>
        </w:rPr>
        <w:t xml:space="preserve">% and </w:t>
      </w:r>
      <w:r>
        <w:rPr>
          <w:rFonts w:ascii="Times New Roman" w:cs="Times New Roman" w:eastAsia="Times New Roman" w:hAnsi="Times New Roman"/>
          <w:sz w:val="22"/>
          <w:szCs w:val="22"/>
        </w:rPr>
        <w:t>39.6%</w:t>
      </w:r>
      <w:r>
        <w:rPr>
          <w:rFonts w:ascii="Times New Roman" w:cs="Times New Roman" w:hAnsi="Times New Roman"/>
          <w:sz w:val="22"/>
          <w:szCs w:val="22"/>
        </w:rPr>
        <w:t xml:space="preserve"> were in their second and third trimester of pregnancy respectively while the rest were in their first trimester. Majority (</w:t>
      </w:r>
      <w:r>
        <w:rPr>
          <w:rFonts w:ascii="Times New Roman" w:cs="Times New Roman" w:eastAsia="Times New Roman" w:hAnsi="Times New Roman"/>
          <w:sz w:val="22"/>
          <w:szCs w:val="22"/>
        </w:rPr>
        <w:t xml:space="preserve">68.5%) </w:t>
      </w:r>
      <w:r>
        <w:rPr>
          <w:rFonts w:ascii="Times New Roman" w:cs="Times New Roman" w:hAnsi="Times New Roman"/>
          <w:sz w:val="22"/>
          <w:szCs w:val="22"/>
        </w:rPr>
        <w:t xml:space="preserve">of the pregnant women had 2-3 children already. </w:t>
      </w:r>
    </w:p>
    <w:p>
      <w:pPr>
        <w:pStyle w:val="style0"/>
        <w:spacing w:lineRule="auto" w:line="360"/>
        <w:rPr>
          <w:rFonts w:ascii="Times New Roman" w:cs="Times New Roman" w:eastAsia="Times New Roman" w:hAnsi="Times New Roman"/>
          <w:b/>
          <w:sz w:val="22"/>
          <w:szCs w:val="22"/>
        </w:rPr>
        <w:sectPr>
          <w:type w:val="continuous"/>
          <w:pgSz w:w="12240" w:h="15840" w:orient="portrait"/>
          <w:pgMar w:top="1440" w:right="1440" w:bottom="1440" w:left="1440" w:header="720" w:footer="720" w:gutter="0"/>
          <w:cols w:space="720" w:num="2"/>
          <w:docGrid w:linePitch="360" w:charSpace="0"/>
        </w:sectPr>
      </w:pPr>
    </w:p>
    <w:tbl>
      <w:tblPr>
        <w:tblStyle w:val="style15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498"/>
        <w:gridCol w:w="2024"/>
      </w:tblGrid>
      <w:tr>
        <w:trPr/>
        <w:tc>
          <w:tcPr>
            <w:tcW w:w="6498" w:type="dxa"/>
            <w:tcBorders/>
          </w:tcPr>
          <w:p>
            <w:pPr>
              <w:pStyle w:val="style0"/>
              <w:widowControl w:val="false"/>
              <w:spacing w:lineRule="auto" w:line="360"/>
              <w:jc w:val="both"/>
              <w:rPr>
                <w:rFonts w:ascii="Times New Roman" w:cs="Times New Roman" w:eastAsia="Times New Roman" w:hAnsi="Times New Roman"/>
                <w:b/>
                <w:sz w:val="22"/>
                <w:szCs w:val="22"/>
                <w:lang w:val="en-GB"/>
              </w:rPr>
            </w:pPr>
            <w:r>
              <w:rPr>
                <w:rFonts w:ascii="Times New Roman" w:cs="Times New Roman" w:eastAsia="Times New Roman" w:hAnsi="Times New Roman"/>
                <w:b/>
                <w:sz w:val="22"/>
                <w:szCs w:val="22"/>
                <w:lang w:val="en-GB"/>
              </w:rPr>
              <w:t>Demographic data</w:t>
            </w:r>
          </w:p>
        </w:tc>
        <w:tc>
          <w:tcPr>
            <w:tcW w:w="2024" w:type="dxa"/>
            <w:tcBorders/>
          </w:tcPr>
          <w:p>
            <w:pPr>
              <w:pStyle w:val="style0"/>
              <w:widowControl w:val="false"/>
              <w:spacing w:lineRule="auto" w:line="360"/>
              <w:jc w:val="both"/>
              <w:rPr>
                <w:rFonts w:ascii="Times New Roman" w:cs="Times New Roman" w:eastAsia="Times New Roman" w:hAnsi="Times New Roman"/>
                <w:b/>
                <w:sz w:val="22"/>
                <w:szCs w:val="22"/>
                <w:lang w:val="en-GB"/>
              </w:rPr>
            </w:pPr>
            <w:r>
              <w:rPr>
                <w:rFonts w:ascii="Times New Roman" w:cs="Times New Roman" w:hAnsi="Times New Roman"/>
                <w:sz w:val="22"/>
                <w:szCs w:val="22"/>
                <w:lang w:val="en-GB"/>
              </w:rPr>
              <w:t>N (%)</w:t>
            </w:r>
          </w:p>
        </w:tc>
      </w:tr>
      <w:tr>
        <w:tblPrEx/>
        <w:trPr/>
        <w:tc>
          <w:tcPr>
            <w:tcW w:w="6498" w:type="dxa"/>
            <w:tcBorders/>
          </w:tcPr>
          <w:p>
            <w:pPr>
              <w:pStyle w:val="style0"/>
              <w:widowControl w:val="false"/>
              <w:spacing w:lineRule="auto" w:line="360"/>
              <w:jc w:val="both"/>
              <w:rPr>
                <w:rFonts w:ascii="Times New Roman" w:cs="Times New Roman" w:eastAsia="Times New Roman" w:hAnsi="Times New Roman"/>
                <w:b/>
                <w:sz w:val="22"/>
                <w:szCs w:val="22"/>
                <w:lang w:val="en-GB"/>
              </w:rPr>
            </w:pPr>
            <w:r>
              <w:rPr>
                <w:rFonts w:ascii="Times New Roman" w:cs="Times New Roman" w:eastAsia="Times New Roman" w:hAnsi="Times New Roman"/>
                <w:b/>
                <w:sz w:val="22"/>
                <w:szCs w:val="22"/>
                <w:lang w:val="en-GB"/>
              </w:rPr>
              <w:t xml:space="preserve">Age </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15-25</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26-35</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36-45</w:t>
            </w:r>
          </w:p>
          <w:p>
            <w:pPr>
              <w:pStyle w:val="style0"/>
              <w:widowControl w:val="false"/>
              <w:spacing w:lineRule="auto" w:line="360"/>
              <w:jc w:val="both"/>
              <w:rPr>
                <w:rFonts w:ascii="Times New Roman" w:cs="Times New Roman" w:eastAsia="Times New Roman" w:hAnsi="Times New Roman"/>
                <w:b/>
                <w:sz w:val="22"/>
                <w:szCs w:val="22"/>
                <w:lang w:val="en-GB"/>
              </w:rPr>
            </w:pPr>
            <w:r>
              <w:rPr>
                <w:rFonts w:ascii="Times New Roman" w:cs="Times New Roman" w:eastAsia="Times New Roman" w:hAnsi="Times New Roman"/>
                <w:b/>
                <w:sz w:val="22"/>
                <w:szCs w:val="22"/>
                <w:lang w:val="en-GB"/>
              </w:rPr>
              <w:t xml:space="preserve">Educational level </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FSLC</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O’ level</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B.Sc/B.A</w:t>
            </w:r>
          </w:p>
          <w:p>
            <w:pPr>
              <w:pStyle w:val="style0"/>
              <w:widowControl w:val="false"/>
              <w:spacing w:lineRule="auto" w:line="360"/>
              <w:jc w:val="both"/>
              <w:rPr>
                <w:rFonts w:ascii="Times New Roman" w:cs="Times New Roman" w:eastAsia="Times New Roman" w:hAnsi="Times New Roman"/>
                <w:b/>
                <w:sz w:val="22"/>
                <w:szCs w:val="22"/>
                <w:lang w:val="en-GB"/>
              </w:rPr>
            </w:pPr>
            <w:r>
              <w:rPr>
                <w:rFonts w:ascii="Times New Roman" w:cs="Times New Roman" w:eastAsia="Times New Roman" w:hAnsi="Times New Roman"/>
                <w:b/>
                <w:sz w:val="22"/>
                <w:szCs w:val="22"/>
                <w:lang w:val="en-GB"/>
              </w:rPr>
              <w:t xml:space="preserve">Occupation </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Civil servant</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Artisan</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Traders</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 xml:space="preserve">Students </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 xml:space="preserve">Unemployed </w:t>
            </w:r>
          </w:p>
          <w:p>
            <w:pPr>
              <w:pStyle w:val="style0"/>
              <w:widowControl w:val="false"/>
              <w:spacing w:lineRule="auto" w:line="360"/>
              <w:jc w:val="both"/>
              <w:rPr>
                <w:rFonts w:ascii="Times New Roman" w:cs="Times New Roman" w:eastAsia="Times New Roman" w:hAnsi="Times New Roman"/>
                <w:b/>
                <w:sz w:val="22"/>
                <w:szCs w:val="22"/>
                <w:lang w:val="en-GB"/>
              </w:rPr>
            </w:pPr>
            <w:r>
              <w:rPr>
                <w:rFonts w:ascii="Times New Roman" w:cs="Times New Roman" w:eastAsia="Times New Roman" w:hAnsi="Times New Roman"/>
                <w:b/>
                <w:sz w:val="22"/>
                <w:szCs w:val="22"/>
                <w:lang w:val="en-GB"/>
              </w:rPr>
              <w:t xml:space="preserve">Marital status </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 xml:space="preserve">Married </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 xml:space="preserve">Divorced </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 xml:space="preserve">Widowed </w:t>
            </w:r>
          </w:p>
          <w:p>
            <w:pPr>
              <w:pStyle w:val="style0"/>
              <w:widowControl w:val="false"/>
              <w:spacing w:lineRule="auto" w:line="360"/>
              <w:jc w:val="both"/>
              <w:rPr>
                <w:rFonts w:ascii="Times New Roman" w:cs="Times New Roman" w:eastAsia="Times New Roman" w:hAnsi="Times New Roman"/>
                <w:b/>
                <w:sz w:val="22"/>
                <w:szCs w:val="22"/>
                <w:lang w:val="en-GB"/>
              </w:rPr>
            </w:pPr>
            <w:r>
              <w:rPr>
                <w:rFonts w:ascii="Times New Roman" w:cs="Times New Roman" w:eastAsia="Times New Roman" w:hAnsi="Times New Roman"/>
                <w:b/>
                <w:sz w:val="22"/>
                <w:szCs w:val="22"/>
                <w:lang w:val="en-GB"/>
              </w:rPr>
              <w:t>Trimester of pregnancy</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First trimester</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 xml:space="preserve">Second trimester </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Third trimester</w:t>
            </w:r>
          </w:p>
          <w:p>
            <w:pPr>
              <w:pStyle w:val="style0"/>
              <w:widowControl w:val="false"/>
              <w:spacing w:lineRule="auto" w:line="360"/>
              <w:jc w:val="both"/>
              <w:rPr>
                <w:rFonts w:ascii="Times New Roman" w:cs="Times New Roman" w:eastAsia="Times New Roman" w:hAnsi="Times New Roman"/>
                <w:b/>
                <w:sz w:val="22"/>
                <w:szCs w:val="22"/>
                <w:lang w:val="en-GB"/>
              </w:rPr>
            </w:pPr>
            <w:r>
              <w:rPr>
                <w:rFonts w:ascii="Times New Roman" w:cs="Times New Roman" w:eastAsia="Times New Roman" w:hAnsi="Times New Roman"/>
                <w:b/>
                <w:sz w:val="22"/>
                <w:szCs w:val="22"/>
                <w:lang w:val="en-GB"/>
              </w:rPr>
              <w:t>Number of previous pregnancies</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0-1</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2-3</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4-5</w:t>
            </w:r>
          </w:p>
          <w:p>
            <w:pPr>
              <w:pStyle w:val="style0"/>
              <w:widowControl w:val="false"/>
              <w:spacing w:lineRule="auto" w:line="360"/>
              <w:jc w:val="both"/>
              <w:rPr>
                <w:rFonts w:ascii="Times New Roman" w:cs="Times New Roman" w:eastAsia="Times New Roman" w:hAnsi="Times New Roman"/>
                <w:b/>
                <w:sz w:val="22"/>
                <w:szCs w:val="22"/>
                <w:lang w:val="en-GB"/>
              </w:rPr>
            </w:pPr>
            <w:r>
              <w:rPr>
                <w:rFonts w:ascii="Times New Roman" w:cs="Times New Roman" w:eastAsia="Times New Roman" w:hAnsi="Times New Roman"/>
                <w:sz w:val="22"/>
                <w:szCs w:val="22"/>
                <w:lang w:val="en-GB"/>
              </w:rPr>
              <w:t>&gt;6</w:t>
            </w:r>
          </w:p>
        </w:tc>
        <w:tc>
          <w:tcPr>
            <w:tcW w:w="2024" w:type="dxa"/>
            <w:tcBorders/>
          </w:tcPr>
          <w:p>
            <w:pPr>
              <w:pStyle w:val="style0"/>
              <w:widowControl w:val="false"/>
              <w:spacing w:lineRule="auto" w:line="360"/>
              <w:jc w:val="both"/>
              <w:rPr>
                <w:rFonts w:ascii="Times New Roman" w:cs="Times New Roman" w:eastAsia="Times New Roman" w:hAnsi="Times New Roman"/>
                <w:b/>
                <w:sz w:val="22"/>
                <w:szCs w:val="22"/>
                <w:lang w:val="en-GB"/>
              </w:rPr>
            </w:pP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35(31.5)</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61(55)</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15(13.5)</w:t>
            </w:r>
          </w:p>
          <w:p>
            <w:pPr>
              <w:pStyle w:val="style0"/>
              <w:widowControl w:val="false"/>
              <w:spacing w:lineRule="auto" w:line="360"/>
              <w:jc w:val="both"/>
              <w:rPr>
                <w:rFonts w:ascii="Times New Roman" w:cs="Times New Roman" w:eastAsia="Times New Roman" w:hAnsi="Times New Roman"/>
                <w:sz w:val="22"/>
                <w:szCs w:val="22"/>
                <w:lang w:val="en-GB"/>
              </w:rPr>
            </w:pP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18(16.2)</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46(41.4)</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47(42.4)</w:t>
            </w:r>
          </w:p>
          <w:p>
            <w:pPr>
              <w:pStyle w:val="style0"/>
              <w:widowControl w:val="false"/>
              <w:spacing w:lineRule="auto" w:line="360"/>
              <w:jc w:val="both"/>
              <w:rPr>
                <w:rFonts w:ascii="Times New Roman" w:cs="Times New Roman" w:eastAsia="Times New Roman" w:hAnsi="Times New Roman"/>
                <w:sz w:val="22"/>
                <w:szCs w:val="22"/>
                <w:lang w:val="en-GB"/>
              </w:rPr>
            </w:pP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33(29.7)</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27(24.3)</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34(30.6)</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16(14.5)</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1(0.9)</w:t>
            </w:r>
          </w:p>
          <w:p>
            <w:pPr>
              <w:pStyle w:val="style0"/>
              <w:widowControl w:val="false"/>
              <w:spacing w:lineRule="auto" w:line="360"/>
              <w:jc w:val="both"/>
              <w:rPr>
                <w:rFonts w:ascii="Times New Roman" w:cs="Times New Roman" w:eastAsia="Times New Roman" w:hAnsi="Times New Roman"/>
                <w:sz w:val="22"/>
                <w:szCs w:val="22"/>
                <w:lang w:val="en-GB"/>
              </w:rPr>
            </w:pP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107(96.4)</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1(0.9)</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3(2.7)</w:t>
            </w:r>
          </w:p>
          <w:p>
            <w:pPr>
              <w:pStyle w:val="style0"/>
              <w:widowControl w:val="false"/>
              <w:spacing w:lineRule="auto" w:line="360"/>
              <w:jc w:val="both"/>
              <w:rPr>
                <w:rFonts w:ascii="Times New Roman" w:cs="Times New Roman" w:eastAsia="Times New Roman" w:hAnsi="Times New Roman"/>
                <w:sz w:val="22"/>
                <w:szCs w:val="22"/>
                <w:lang w:val="en-GB"/>
              </w:rPr>
            </w:pP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24(21.6)</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43(38.7)</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44(39.6)</w:t>
            </w:r>
          </w:p>
          <w:p>
            <w:pPr>
              <w:pStyle w:val="style0"/>
              <w:widowControl w:val="false"/>
              <w:spacing w:lineRule="auto" w:line="360"/>
              <w:jc w:val="both"/>
              <w:rPr>
                <w:rFonts w:ascii="Times New Roman" w:cs="Times New Roman" w:eastAsia="Times New Roman" w:hAnsi="Times New Roman"/>
                <w:sz w:val="22"/>
                <w:szCs w:val="22"/>
                <w:lang w:val="en-GB"/>
              </w:rPr>
            </w:pP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23(20.7)</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76(68.5)</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11(9.9)</w:t>
            </w:r>
          </w:p>
          <w:p>
            <w:pPr>
              <w:pStyle w:val="style0"/>
              <w:widowControl w:val="false"/>
              <w:spacing w:lineRule="auto" w:line="360"/>
              <w:jc w:val="both"/>
              <w:rPr>
                <w:rFonts w:ascii="Times New Roman" w:cs="Times New Roman" w:eastAsia="Times New Roman" w:hAnsi="Times New Roman"/>
                <w:b/>
                <w:sz w:val="22"/>
                <w:szCs w:val="22"/>
                <w:lang w:val="en-GB"/>
              </w:rPr>
            </w:pPr>
            <w:r>
              <w:rPr>
                <w:rFonts w:ascii="Times New Roman" w:cs="Times New Roman" w:eastAsia="Times New Roman" w:hAnsi="Times New Roman"/>
                <w:sz w:val="22"/>
                <w:szCs w:val="22"/>
                <w:lang w:val="en-GB"/>
              </w:rPr>
              <w:t>1(0.9)</w:t>
            </w:r>
          </w:p>
        </w:tc>
      </w:tr>
    </w:tbl>
    <w:p>
      <w:pPr>
        <w:pStyle w:val="style0"/>
        <w:spacing w:after="0" w:lineRule="auto" w:line="360"/>
        <w:rPr>
          <w:rFonts w:ascii="Times New Roman" w:cs="Times New Roman" w:eastAsia="Times New Roman" w:hAnsi="Times New Roman"/>
          <w:b/>
          <w:sz w:val="22"/>
          <w:szCs w:val="22"/>
        </w:rPr>
      </w:pPr>
    </w:p>
    <w:p>
      <w:pPr>
        <w:pStyle w:val="style0"/>
        <w:spacing w:after="0" w:lineRule="auto" w:line="360"/>
        <w:rPr>
          <w:rFonts w:ascii="Times New Roman" w:cs="Times New Roman" w:eastAsia="Times New Roman" w:hAnsi="Times New Roman"/>
          <w:b/>
          <w:sz w:val="22"/>
          <w:szCs w:val="22"/>
        </w:rPr>
      </w:pPr>
      <w:r>
        <w:rPr>
          <w:rFonts w:ascii="Times New Roman" w:cs="Times New Roman" w:hAnsi="Times New Roman"/>
          <w:b/>
          <w:color w:val="000000"/>
          <w:sz w:val="22"/>
          <w:szCs w:val="22"/>
        </w:rPr>
        <w:t>Knowledge, Attitude and Practices</w:t>
      </w:r>
    </w:p>
    <w:tbl>
      <w:tblPr>
        <w:tblStyle w:val="style15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408"/>
        <w:gridCol w:w="2114"/>
      </w:tblGrid>
      <w:tr>
        <w:trPr/>
        <w:tc>
          <w:tcPr>
            <w:tcW w:w="6408" w:type="dxa"/>
            <w:tcBorders/>
          </w:tcPr>
          <w:p>
            <w:pPr>
              <w:pStyle w:val="style0"/>
              <w:widowControl w:val="false"/>
              <w:spacing w:lineRule="auto" w:line="360"/>
              <w:jc w:val="both"/>
              <w:rPr>
                <w:rFonts w:ascii="Times New Roman" w:cs="Times New Roman" w:eastAsia="Times New Roman" w:hAnsi="Times New Roman"/>
                <w:b/>
                <w:sz w:val="22"/>
                <w:szCs w:val="22"/>
                <w:lang w:val="en-GB"/>
              </w:rPr>
            </w:pPr>
            <w:r>
              <w:rPr>
                <w:rFonts w:ascii="Times New Roman" w:cs="Times New Roman" w:eastAsia="Times New Roman" w:hAnsi="Times New Roman"/>
                <w:b/>
                <w:sz w:val="22"/>
                <w:szCs w:val="22"/>
                <w:lang w:val="en-GB"/>
              </w:rPr>
              <w:t>Knowledge about hepatitis</w:t>
            </w:r>
          </w:p>
        </w:tc>
        <w:tc>
          <w:tcPr>
            <w:tcW w:w="2114" w:type="dxa"/>
            <w:tcBorders/>
          </w:tcPr>
          <w:p>
            <w:pPr>
              <w:pStyle w:val="style0"/>
              <w:widowControl w:val="false"/>
              <w:spacing w:lineRule="auto" w:line="360"/>
              <w:jc w:val="both"/>
              <w:rPr>
                <w:rFonts w:ascii="Times New Roman" w:cs="Times New Roman" w:eastAsia="Times New Roman" w:hAnsi="Times New Roman"/>
                <w:b/>
                <w:sz w:val="22"/>
                <w:szCs w:val="22"/>
                <w:lang w:val="en-GB"/>
              </w:rPr>
            </w:pPr>
            <w:r>
              <w:rPr>
                <w:rFonts w:ascii="Times New Roman" w:cs="Times New Roman" w:hAnsi="Times New Roman"/>
                <w:sz w:val="22"/>
                <w:szCs w:val="22"/>
                <w:lang w:val="en-GB"/>
              </w:rPr>
              <w:t>N (%)</w:t>
            </w:r>
          </w:p>
        </w:tc>
      </w:tr>
      <w:tr>
        <w:tblPrEx/>
        <w:trPr/>
        <w:tc>
          <w:tcPr>
            <w:tcW w:w="6408" w:type="dxa"/>
            <w:tcBorders/>
          </w:tcPr>
          <w:p>
            <w:pPr>
              <w:pStyle w:val="style0"/>
              <w:widowControl w:val="false"/>
              <w:spacing w:lineRule="auto" w:line="360"/>
              <w:jc w:val="both"/>
              <w:rPr>
                <w:rFonts w:ascii="Times New Roman" w:cs="Times New Roman" w:eastAsia="Times New Roman" w:hAnsi="Times New Roman"/>
                <w:b/>
                <w:sz w:val="22"/>
                <w:szCs w:val="22"/>
                <w:lang w:val="en-GB"/>
              </w:rPr>
            </w:pPr>
            <w:r>
              <w:rPr>
                <w:rFonts w:ascii="Times New Roman" w:cs="Times New Roman" w:eastAsia="Times New Roman" w:hAnsi="Times New Roman"/>
                <w:b/>
                <w:sz w:val="22"/>
                <w:szCs w:val="22"/>
                <w:lang w:val="en-GB"/>
              </w:rPr>
              <w:t>What is Hepatitis B?</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A liver infection caused by a virus</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A common cold</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 xml:space="preserve">I don’t know </w:t>
            </w:r>
          </w:p>
          <w:p>
            <w:pPr>
              <w:pStyle w:val="style0"/>
              <w:widowControl w:val="false"/>
              <w:spacing w:lineRule="auto" w:line="360"/>
              <w:jc w:val="both"/>
              <w:rPr>
                <w:rFonts w:ascii="Times New Roman" w:cs="Times New Roman" w:eastAsia="Times New Roman" w:hAnsi="Times New Roman"/>
                <w:b/>
                <w:sz w:val="22"/>
                <w:szCs w:val="22"/>
                <w:lang w:val="en-GB"/>
              </w:rPr>
            </w:pPr>
            <w:r>
              <w:rPr>
                <w:rFonts w:ascii="Times New Roman" w:cs="Times New Roman" w:eastAsia="Times New Roman" w:hAnsi="Times New Roman"/>
                <w:b/>
                <w:sz w:val="22"/>
                <w:szCs w:val="22"/>
                <w:lang w:val="en-GB"/>
              </w:rPr>
              <w:t>How can Hepatitis B be transmitted?</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From mother to baby during pregnancy or childbirth</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Unprotected sexual contact</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Sharing personal items like toothbrush, razor, syringe etc</w:t>
            </w:r>
          </w:p>
          <w:p>
            <w:pPr>
              <w:pStyle w:val="style0"/>
              <w:widowControl w:val="false"/>
              <w:spacing w:lineRule="auto" w:line="360"/>
              <w:jc w:val="both"/>
              <w:rPr>
                <w:rFonts w:ascii="Times New Roman" w:cs="Times New Roman" w:eastAsia="Times New Roman" w:hAnsi="Times New Roman"/>
                <w:b/>
                <w:sz w:val="22"/>
                <w:szCs w:val="22"/>
                <w:lang w:val="en-GB"/>
              </w:rPr>
            </w:pPr>
            <w:r>
              <w:rPr>
                <w:rFonts w:ascii="Times New Roman" w:cs="Times New Roman" w:eastAsia="Times New Roman" w:hAnsi="Times New Roman"/>
                <w:b/>
                <w:sz w:val="22"/>
                <w:szCs w:val="22"/>
                <w:lang w:val="en-GB"/>
              </w:rPr>
              <w:t>What are some symptoms of Hepatitis B?</w:t>
            </w:r>
          </w:p>
          <w:p>
            <w:pPr>
              <w:pStyle w:val="style0"/>
              <w:widowControl w:val="false"/>
              <w:spacing w:lineRule="auto" w:line="360"/>
              <w:jc w:val="both"/>
              <w:rPr>
                <w:rFonts w:ascii="Times New Roman" w:cs="Times New Roman" w:eastAsia="Times New Roman" w:hAnsi="Times New Roman"/>
                <w:b/>
                <w:sz w:val="22"/>
                <w:szCs w:val="22"/>
                <w:lang w:val="en-GB"/>
              </w:rPr>
            </w:pPr>
            <w:r>
              <w:rPr>
                <w:rFonts w:ascii="Times New Roman" w:cs="Times New Roman" w:eastAsia="Times New Roman" w:hAnsi="Times New Roman"/>
                <w:sz w:val="22"/>
                <w:szCs w:val="22"/>
                <w:lang w:val="en-GB"/>
              </w:rPr>
              <w:t>No symptoms in all cases</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Fatigue, nausea and vomiting</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All of the above</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Dark urine and yellowing of the skin (jaundice)</w:t>
            </w:r>
          </w:p>
          <w:p>
            <w:pPr>
              <w:pStyle w:val="style0"/>
              <w:widowControl w:val="false"/>
              <w:spacing w:lineRule="auto" w:line="360"/>
              <w:jc w:val="both"/>
              <w:rPr>
                <w:rFonts w:ascii="Times New Roman" w:cs="Times New Roman" w:eastAsia="Times New Roman" w:hAnsi="Times New Roman"/>
                <w:b/>
                <w:sz w:val="22"/>
                <w:szCs w:val="22"/>
                <w:lang w:val="en-GB"/>
              </w:rPr>
            </w:pPr>
            <w:r>
              <w:rPr>
                <w:rFonts w:ascii="Times New Roman" w:cs="Times New Roman" w:eastAsia="Times New Roman" w:hAnsi="Times New Roman"/>
                <w:b/>
                <w:sz w:val="22"/>
                <w:szCs w:val="22"/>
                <w:lang w:val="en-GB"/>
              </w:rPr>
              <w:t>Is there a vaccine available to treat Hepatitis B?</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 xml:space="preserve">Yes </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 xml:space="preserve">No </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I don’t know</w:t>
            </w:r>
          </w:p>
          <w:p>
            <w:pPr>
              <w:pStyle w:val="style0"/>
              <w:widowControl w:val="false"/>
              <w:spacing w:lineRule="auto" w:line="360"/>
              <w:jc w:val="both"/>
              <w:rPr>
                <w:rFonts w:ascii="Times New Roman" w:cs="Times New Roman" w:eastAsia="Times New Roman" w:hAnsi="Times New Roman"/>
                <w:b/>
                <w:sz w:val="22"/>
                <w:szCs w:val="22"/>
                <w:lang w:val="en-GB"/>
              </w:rPr>
            </w:pPr>
            <w:r>
              <w:rPr>
                <w:rFonts w:ascii="Times New Roman" w:cs="Times New Roman" w:eastAsia="Times New Roman" w:hAnsi="Times New Roman"/>
                <w:b/>
                <w:sz w:val="22"/>
                <w:szCs w:val="22"/>
                <w:lang w:val="en-GB"/>
              </w:rPr>
              <w:t>How can a woman protect her baby from Hepatitis B?</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Getting vaccinated during pregnancy</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There is no way to prevent transmission</w:t>
            </w:r>
          </w:p>
          <w:p>
            <w:pPr>
              <w:pStyle w:val="style0"/>
              <w:widowControl w:val="false"/>
              <w:spacing w:lineRule="auto" w:line="360"/>
              <w:jc w:val="both"/>
              <w:rPr>
                <w:rFonts w:ascii="Times New Roman" w:cs="Times New Roman" w:eastAsia="Times New Roman" w:hAnsi="Times New Roman"/>
                <w:b/>
                <w:sz w:val="22"/>
                <w:szCs w:val="22"/>
                <w:lang w:val="en-GB"/>
              </w:rPr>
            </w:pPr>
            <w:r>
              <w:rPr>
                <w:rFonts w:ascii="Times New Roman" w:cs="Times New Roman" w:eastAsia="Times New Roman" w:hAnsi="Times New Roman"/>
                <w:sz w:val="22"/>
                <w:szCs w:val="22"/>
                <w:lang w:val="en-GB"/>
              </w:rPr>
              <w:t>Giving birth through cesarean section</w:t>
            </w:r>
          </w:p>
        </w:tc>
        <w:tc>
          <w:tcPr>
            <w:tcW w:w="2114" w:type="dxa"/>
            <w:tcBorders/>
          </w:tcPr>
          <w:p>
            <w:pPr>
              <w:pStyle w:val="style0"/>
              <w:widowControl w:val="false"/>
              <w:spacing w:lineRule="auto" w:line="360"/>
              <w:jc w:val="both"/>
              <w:rPr>
                <w:rFonts w:ascii="Times New Roman" w:cs="Times New Roman" w:eastAsia="Times New Roman" w:hAnsi="Times New Roman"/>
                <w:sz w:val="22"/>
                <w:szCs w:val="22"/>
                <w:lang w:val="en-GB"/>
              </w:rPr>
            </w:pP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54(48.6)</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15(13.5)</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42(37.8)</w:t>
            </w:r>
          </w:p>
          <w:p>
            <w:pPr>
              <w:pStyle w:val="style0"/>
              <w:widowControl w:val="false"/>
              <w:spacing w:lineRule="auto" w:line="360"/>
              <w:jc w:val="both"/>
              <w:rPr>
                <w:rFonts w:ascii="Times New Roman" w:cs="Times New Roman" w:eastAsia="Times New Roman" w:hAnsi="Times New Roman"/>
                <w:sz w:val="22"/>
                <w:szCs w:val="22"/>
                <w:lang w:val="en-GB"/>
              </w:rPr>
            </w:pP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18(16.2)</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43(38.7)</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50(45.0)</w:t>
            </w:r>
          </w:p>
          <w:p>
            <w:pPr>
              <w:pStyle w:val="style0"/>
              <w:widowControl w:val="false"/>
              <w:spacing w:lineRule="auto" w:line="360"/>
              <w:jc w:val="both"/>
              <w:rPr>
                <w:rFonts w:ascii="Times New Roman" w:cs="Times New Roman" w:eastAsia="Times New Roman" w:hAnsi="Times New Roman"/>
                <w:sz w:val="22"/>
                <w:szCs w:val="22"/>
                <w:lang w:val="en-GB"/>
              </w:rPr>
            </w:pP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35(31.5)</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16(14.4)</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15(13.5)</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45(40.5)</w:t>
            </w:r>
          </w:p>
          <w:p>
            <w:pPr>
              <w:pStyle w:val="style0"/>
              <w:widowControl w:val="false"/>
              <w:spacing w:lineRule="auto" w:line="360"/>
              <w:jc w:val="both"/>
              <w:rPr>
                <w:rFonts w:ascii="Times New Roman" w:cs="Times New Roman" w:eastAsia="Times New Roman" w:hAnsi="Times New Roman"/>
                <w:sz w:val="22"/>
                <w:szCs w:val="22"/>
                <w:lang w:val="en-GB"/>
              </w:rPr>
            </w:pP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79(71.2)</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0</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32(28.2)</w:t>
            </w:r>
          </w:p>
          <w:p>
            <w:pPr>
              <w:pStyle w:val="style0"/>
              <w:widowControl w:val="false"/>
              <w:spacing w:lineRule="auto" w:line="360"/>
              <w:jc w:val="both"/>
              <w:rPr>
                <w:rFonts w:ascii="Times New Roman" w:cs="Times New Roman" w:eastAsia="Times New Roman" w:hAnsi="Times New Roman"/>
                <w:sz w:val="22"/>
                <w:szCs w:val="22"/>
                <w:lang w:val="en-GB"/>
              </w:rPr>
            </w:pP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67(60.4)</w:t>
            </w:r>
          </w:p>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20(18.0)</w:t>
            </w:r>
          </w:p>
          <w:p>
            <w:pPr>
              <w:pStyle w:val="style0"/>
              <w:widowControl w:val="false"/>
              <w:spacing w:lineRule="auto" w:line="360"/>
              <w:jc w:val="both"/>
              <w:rPr>
                <w:rFonts w:ascii="Times New Roman" w:cs="Times New Roman" w:eastAsia="Times New Roman" w:hAnsi="Times New Roman"/>
                <w:b/>
                <w:sz w:val="22"/>
                <w:szCs w:val="22"/>
                <w:lang w:val="en-GB"/>
              </w:rPr>
            </w:pPr>
            <w:r>
              <w:rPr>
                <w:rFonts w:ascii="Times New Roman" w:cs="Times New Roman" w:eastAsia="Times New Roman" w:hAnsi="Times New Roman"/>
                <w:sz w:val="22"/>
                <w:szCs w:val="22"/>
                <w:lang w:val="en-GB"/>
              </w:rPr>
              <w:t>24(21.6)</w:t>
            </w:r>
          </w:p>
        </w:tc>
      </w:tr>
    </w:tbl>
    <w:p>
      <w:pPr>
        <w:pStyle w:val="style0"/>
        <w:spacing w:after="0" w:lineRule="auto" w:line="360"/>
        <w:rPr>
          <w:rFonts w:ascii="Times New Roman" w:cs="Times New Roman" w:hAnsi="Times New Roman"/>
          <w:sz w:val="22"/>
          <w:szCs w:val="22"/>
        </w:rPr>
      </w:pPr>
    </w:p>
    <w:p>
      <w:pPr>
        <w:pStyle w:val="style0"/>
        <w:spacing w:after="0" w:lineRule="auto" w:line="360"/>
        <w:rPr>
          <w:rFonts w:ascii="Times New Roman" w:cs="Times New Roman" w:hAnsi="Times New Roman"/>
          <w:sz w:val="22"/>
          <w:szCs w:val="22"/>
        </w:rPr>
      </w:pPr>
    </w:p>
    <w:p>
      <w:pPr>
        <w:pStyle w:val="style0"/>
        <w:spacing w:after="0" w:lineRule="auto" w:line="360"/>
        <w:rPr>
          <w:rFonts w:ascii="Times New Roman" w:cs="Times New Roman" w:hAnsi="Times New Roman"/>
          <w:sz w:val="22"/>
          <w:szCs w:val="22"/>
        </w:rPr>
      </w:pPr>
      <w:r>
        <w:rPr>
          <w:rFonts w:ascii="Times New Roman" w:cs="Times New Roman" w:hAnsi="Times New Roman"/>
          <w:sz w:val="22"/>
          <w:szCs w:val="22"/>
        </w:rPr>
        <w:t>Table 3</w:t>
      </w:r>
    </w:p>
    <w:p>
      <w:pPr>
        <w:pStyle w:val="style4099"/>
        <w:tabs>
          <w:tab w:val="left" w:leader="none" w:pos="8460"/>
          <w:tab w:val="left" w:leader="none" w:pos="9270"/>
        </w:tabs>
        <w:spacing w:after="0" w:lineRule="auto" w:line="360"/>
        <w:ind w:left="900" w:hanging="900"/>
        <w:jc w:val="both"/>
        <w:rPr>
          <w:rFonts w:ascii="Times New Roman" w:cs="Times New Roman" w:hAnsi="Times New Roman"/>
          <w:b/>
          <w:color w:val="000000"/>
          <w:sz w:val="22"/>
          <w:szCs w:val="22"/>
        </w:rPr>
      </w:pPr>
      <w:r>
        <w:rPr>
          <w:rFonts w:ascii="Times New Roman" w:cs="Times New Roman" w:hAnsi="Times New Roman"/>
          <w:b/>
          <w:color w:val="000000"/>
          <w:sz w:val="22"/>
          <w:szCs w:val="22"/>
        </w:rPr>
        <w:t>Mean Score and Standard Deviation ATTITUDE - Likert scale</w:t>
      </w:r>
    </w:p>
    <w:tbl>
      <w:tblPr>
        <w:tblStyle w:val="style105"/>
        <w:tblW w:w="0" w:type="auto"/>
        <w:tblInd w:w="8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
      <w:tblGrid>
        <w:gridCol w:w="617"/>
        <w:gridCol w:w="2943"/>
        <w:gridCol w:w="1230"/>
        <w:gridCol w:w="1350"/>
        <w:gridCol w:w="1362"/>
        <w:gridCol w:w="1297"/>
      </w:tblGrid>
      <w:tr>
        <w:trPr>
          <w:trHeight w:val="360" w:hRule="atLeast"/>
        </w:trPr>
        <w:tc>
          <w:tcPr>
            <w:tcW w:w="617" w:type="dxa"/>
            <w:tcBorders>
              <w:top w:val="single" w:sz="4" w:space="0" w:color="auto"/>
              <w:bottom w:val="single" w:sz="4" w:space="0" w:color="auto"/>
            </w:tcBorders>
          </w:tcPr>
          <w:p>
            <w:pPr>
              <w:pStyle w:val="style4099"/>
              <w:tabs>
                <w:tab w:val="left" w:leader="none" w:pos="8460"/>
                <w:tab w:val="left" w:leader="none" w:pos="9270"/>
              </w:tabs>
              <w:spacing w:after="0" w:lineRule="auto" w:line="360"/>
              <w:ind w:left="0"/>
              <w:jc w:val="both"/>
              <w:rPr>
                <w:rFonts w:ascii="Times New Roman" w:cs="Times New Roman" w:hAnsi="Times New Roman"/>
                <w:color w:val="000000"/>
                <w:sz w:val="22"/>
                <w:szCs w:val="22"/>
              </w:rPr>
            </w:pPr>
            <w:r>
              <w:rPr>
                <w:rFonts w:ascii="Times New Roman" w:cs="Times New Roman" w:hAnsi="Times New Roman"/>
                <w:color w:val="000000"/>
                <w:sz w:val="22"/>
                <w:szCs w:val="22"/>
              </w:rPr>
              <w:t>S/N</w:t>
            </w:r>
          </w:p>
        </w:tc>
        <w:tc>
          <w:tcPr>
            <w:tcW w:w="2943" w:type="dxa"/>
            <w:tcBorders>
              <w:top w:val="single" w:sz="4" w:space="0" w:color="auto"/>
              <w:bottom w:val="single" w:sz="4" w:space="0" w:color="auto"/>
            </w:tcBorders>
            <w:shd w:val="clear" w:color="auto" w:fill="auto"/>
          </w:tcPr>
          <w:p>
            <w:pPr>
              <w:pStyle w:val="style4099"/>
              <w:tabs>
                <w:tab w:val="left" w:leader="none" w:pos="8460"/>
                <w:tab w:val="left" w:leader="none" w:pos="9270"/>
              </w:tabs>
              <w:spacing w:after="0" w:lineRule="auto" w:line="360"/>
              <w:ind w:left="0"/>
              <w:jc w:val="both"/>
              <w:rPr>
                <w:rFonts w:ascii="Times New Roman" w:cs="Times New Roman" w:hAnsi="Times New Roman"/>
                <w:color w:val="000000"/>
                <w:sz w:val="22"/>
                <w:szCs w:val="22"/>
              </w:rPr>
            </w:pPr>
            <w:r>
              <w:rPr>
                <w:rFonts w:ascii="Times New Roman" w:cs="Times New Roman" w:hAnsi="Times New Roman"/>
                <w:color w:val="000000"/>
                <w:sz w:val="22"/>
                <w:szCs w:val="22"/>
              </w:rPr>
              <w:t xml:space="preserve">Items </w:t>
            </w:r>
          </w:p>
        </w:tc>
        <w:tc>
          <w:tcPr>
            <w:tcW w:w="1230" w:type="dxa"/>
            <w:tcBorders>
              <w:top w:val="single" w:sz="4" w:space="0" w:color="auto"/>
              <w:bottom w:val="single" w:sz="4" w:space="0" w:color="auto"/>
            </w:tcBorders>
            <w:shd w:val="clear" w:color="auto" w:fill="auto"/>
          </w:tcPr>
          <w:p>
            <w:pPr>
              <w:pStyle w:val="style4099"/>
              <w:tabs>
                <w:tab w:val="left" w:leader="none" w:pos="8460"/>
                <w:tab w:val="left" w:leader="none" w:pos="9270"/>
              </w:tabs>
              <w:spacing w:after="0" w:lineRule="auto" w:line="360"/>
              <w:ind w:left="0"/>
              <w:jc w:val="center"/>
              <w:rPr>
                <w:rFonts w:ascii="Times New Roman" w:cs="Times New Roman" w:hAnsi="Times New Roman"/>
                <w:color w:val="000000"/>
                <w:sz w:val="22"/>
                <w:szCs w:val="22"/>
              </w:rPr>
            </w:pPr>
            <w:r>
              <w:rPr>
                <w:rFonts w:ascii="Times New Roman" w:cs="Times New Roman" w:hAnsi="Times New Roman"/>
                <w:color w:val="000000"/>
                <w:sz w:val="22"/>
                <w:szCs w:val="22"/>
              </w:rPr>
              <w:t>N</w:t>
            </w:r>
          </w:p>
        </w:tc>
        <w:tc>
          <w:tcPr>
            <w:tcW w:w="1350" w:type="dxa"/>
            <w:tcBorders>
              <w:top w:val="single" w:sz="4" w:space="0" w:color="auto"/>
              <w:bottom w:val="single" w:sz="4" w:space="0" w:color="auto"/>
            </w:tcBorders>
            <w:shd w:val="clear" w:color="auto" w:fill="auto"/>
          </w:tcPr>
          <w:p>
            <w:pPr>
              <w:pStyle w:val="style4099"/>
              <w:tabs>
                <w:tab w:val="left" w:leader="none" w:pos="8460"/>
                <w:tab w:val="left" w:leader="none" w:pos="9270"/>
              </w:tabs>
              <w:spacing w:after="0" w:lineRule="auto" w:line="360"/>
              <w:ind w:left="0"/>
              <w:jc w:val="center"/>
              <w:rPr>
                <w:rFonts w:ascii="Times New Roman" w:cs="Times New Roman" w:hAnsi="Times New Roman"/>
                <w:b/>
                <w:color w:val="000000"/>
                <w:sz w:val="22"/>
                <w:szCs w:val="22"/>
              </w:rPr>
            </w:pPr>
          </w:p>
        </w:tc>
        <w:tc>
          <w:tcPr>
            <w:tcW w:w="1362" w:type="dxa"/>
            <w:tcBorders>
              <w:top w:val="single" w:sz="4" w:space="0" w:color="auto"/>
              <w:bottom w:val="single" w:sz="4" w:space="0" w:color="auto"/>
            </w:tcBorders>
            <w:shd w:val="clear" w:color="auto" w:fill="auto"/>
          </w:tcPr>
          <w:p>
            <w:pPr>
              <w:pStyle w:val="style4099"/>
              <w:tabs>
                <w:tab w:val="left" w:leader="none" w:pos="8460"/>
                <w:tab w:val="left" w:leader="none" w:pos="9270"/>
              </w:tabs>
              <w:spacing w:after="0" w:lineRule="auto" w:line="360"/>
              <w:ind w:left="0"/>
              <w:jc w:val="center"/>
              <w:rPr>
                <w:rFonts w:ascii="Times New Roman" w:cs="Times New Roman" w:hAnsi="Times New Roman"/>
                <w:color w:val="000000"/>
                <w:sz w:val="22"/>
                <w:szCs w:val="22"/>
              </w:rPr>
            </w:pPr>
            <w:r>
              <w:rPr>
                <w:rFonts w:ascii="Times New Roman" w:cs="Times New Roman" w:hAnsi="Times New Roman"/>
                <w:color w:val="000000"/>
                <w:sz w:val="22"/>
                <w:szCs w:val="22"/>
              </w:rPr>
              <w:t>SD</w:t>
            </w:r>
          </w:p>
        </w:tc>
        <w:tc>
          <w:tcPr>
            <w:tcW w:w="1297" w:type="dxa"/>
            <w:tcBorders>
              <w:top w:val="single" w:sz="4" w:space="0" w:color="auto"/>
              <w:bottom w:val="single" w:sz="4" w:space="0" w:color="auto"/>
            </w:tcBorders>
          </w:tcPr>
          <w:p>
            <w:pPr>
              <w:pStyle w:val="style4099"/>
              <w:tabs>
                <w:tab w:val="left" w:leader="none" w:pos="8460"/>
                <w:tab w:val="left" w:leader="none" w:pos="9270"/>
              </w:tabs>
              <w:spacing w:after="0" w:lineRule="auto" w:line="360"/>
              <w:ind w:left="0"/>
              <w:jc w:val="center"/>
              <w:rPr>
                <w:rFonts w:ascii="Times New Roman" w:cs="Times New Roman" w:hAnsi="Times New Roman"/>
                <w:color w:val="000000"/>
                <w:sz w:val="22"/>
                <w:szCs w:val="22"/>
              </w:rPr>
            </w:pPr>
            <w:r>
              <w:rPr>
                <w:rFonts w:ascii="Times New Roman" w:cs="Times New Roman" w:hAnsi="Times New Roman"/>
                <w:color w:val="000000"/>
                <w:sz w:val="22"/>
                <w:szCs w:val="22"/>
              </w:rPr>
              <w:t xml:space="preserve">Decision </w:t>
            </w:r>
          </w:p>
        </w:tc>
      </w:tr>
      <w:tr>
        <w:tblPrEx/>
        <w:trPr>
          <w:trHeight w:val="1436" w:hRule="atLeast"/>
        </w:trPr>
        <w:tc>
          <w:tcPr>
            <w:tcW w:w="617" w:type="dxa"/>
            <w:tcBorders>
              <w:top w:val="single" w:sz="4" w:space="0" w:color="auto"/>
            </w:tcBorders>
          </w:tcPr>
          <w:p>
            <w:pPr>
              <w:pStyle w:val="style4099"/>
              <w:tabs>
                <w:tab w:val="left" w:leader="none" w:pos="8460"/>
                <w:tab w:val="left" w:leader="none" w:pos="9270"/>
              </w:tabs>
              <w:spacing w:after="0" w:lineRule="auto" w:line="360"/>
              <w:ind w:left="0"/>
              <w:jc w:val="both"/>
              <w:rPr>
                <w:rFonts w:ascii="Times New Roman" w:cs="Times New Roman" w:hAnsi="Times New Roman"/>
                <w:color w:val="000000"/>
                <w:sz w:val="22"/>
                <w:szCs w:val="22"/>
              </w:rPr>
            </w:pPr>
            <w:r>
              <w:rPr>
                <w:rFonts w:ascii="Times New Roman" w:cs="Times New Roman" w:hAnsi="Times New Roman"/>
                <w:color w:val="000000"/>
                <w:sz w:val="22"/>
                <w:szCs w:val="22"/>
              </w:rPr>
              <w:t>1</w:t>
            </w:r>
          </w:p>
        </w:tc>
        <w:tc>
          <w:tcPr>
            <w:tcW w:w="2943" w:type="dxa"/>
            <w:tcBorders>
              <w:top w:val="single" w:sz="4" w:space="0" w:color="auto"/>
            </w:tcBorders>
            <w:shd w:val="clear" w:color="auto" w:fill="auto"/>
          </w:tcPr>
          <w:p>
            <w:pPr>
              <w:pStyle w:val="style0"/>
              <w:spacing w:before="100" w:beforeAutospacing="true" w:after="0" w:lineRule="auto" w:line="360"/>
              <w:jc w:val="both"/>
              <w:rPr>
                <w:rFonts w:ascii="Times New Roman" w:cs="Times New Roman" w:eastAsia="Times New Roman" w:hAnsi="Times New Roman"/>
                <w:sz w:val="22"/>
                <w:szCs w:val="22"/>
              </w:rPr>
            </w:pPr>
            <w:r>
              <w:rPr>
                <w:rFonts w:ascii="Times New Roman" w:cs="Times New Roman" w:hAnsi="Times New Roman"/>
                <w:color w:val="000000"/>
                <w:sz w:val="22"/>
                <w:szCs w:val="22"/>
              </w:rPr>
              <w:t>if I am diagnosed with Hepatitis B, I will be too embarrassed to seek treatment</w:t>
            </w:r>
          </w:p>
        </w:tc>
        <w:tc>
          <w:tcPr>
            <w:tcW w:w="1230" w:type="dxa"/>
            <w:tcBorders>
              <w:top w:val="single" w:sz="4" w:space="0" w:color="auto"/>
            </w:tcBorders>
            <w:shd w:val="clear" w:color="auto" w:fill="auto"/>
          </w:tcPr>
          <w:p>
            <w:pPr>
              <w:pStyle w:val="style0"/>
              <w:autoSpaceDE w:val="false"/>
              <w:autoSpaceDN w:val="false"/>
              <w:adjustRightInd w:val="false"/>
              <w:spacing w:after="0" w:lineRule="auto" w:line="360"/>
              <w:ind w:left="60" w:right="60"/>
              <w:jc w:val="right"/>
              <w:rPr>
                <w:rFonts w:ascii="Times New Roman" w:cs="Times New Roman" w:hAnsi="Times New Roman"/>
                <w:color w:val="010205"/>
                <w:sz w:val="22"/>
                <w:szCs w:val="22"/>
              </w:rPr>
            </w:pPr>
            <w:r>
              <w:rPr>
                <w:rFonts w:ascii="Times New Roman" w:cs="Times New Roman" w:hAnsi="Times New Roman"/>
                <w:color w:val="010205"/>
                <w:sz w:val="22"/>
                <w:szCs w:val="22"/>
              </w:rPr>
              <w:t>111</w:t>
            </w:r>
          </w:p>
        </w:tc>
        <w:tc>
          <w:tcPr>
            <w:tcW w:w="1350" w:type="dxa"/>
            <w:tcBorders>
              <w:top w:val="single" w:sz="4" w:space="0" w:color="auto"/>
            </w:tcBorders>
            <w:shd w:val="clear" w:color="auto" w:fill="auto"/>
          </w:tcPr>
          <w:p>
            <w:pPr>
              <w:pStyle w:val="style0"/>
              <w:autoSpaceDE w:val="false"/>
              <w:autoSpaceDN w:val="false"/>
              <w:adjustRightInd w:val="false"/>
              <w:spacing w:after="0" w:lineRule="auto" w:line="360"/>
              <w:ind w:left="60" w:right="60"/>
              <w:jc w:val="right"/>
              <w:rPr>
                <w:rFonts w:ascii="Times New Roman" w:cs="Times New Roman" w:hAnsi="Times New Roman"/>
                <w:color w:val="010205"/>
                <w:sz w:val="22"/>
                <w:szCs w:val="22"/>
              </w:rPr>
            </w:pPr>
            <w:r>
              <w:rPr>
                <w:rFonts w:ascii="Times New Roman" w:cs="Times New Roman" w:hAnsi="Times New Roman"/>
                <w:color w:val="010205"/>
                <w:sz w:val="22"/>
                <w:szCs w:val="22"/>
              </w:rPr>
              <w:t>3.29</w:t>
            </w:r>
          </w:p>
        </w:tc>
        <w:tc>
          <w:tcPr>
            <w:tcW w:w="1362" w:type="dxa"/>
            <w:tcBorders>
              <w:top w:val="single" w:sz="4" w:space="0" w:color="auto"/>
            </w:tcBorders>
            <w:shd w:val="clear" w:color="auto" w:fill="auto"/>
          </w:tcPr>
          <w:p>
            <w:pPr>
              <w:pStyle w:val="style0"/>
              <w:autoSpaceDE w:val="false"/>
              <w:autoSpaceDN w:val="false"/>
              <w:adjustRightInd w:val="false"/>
              <w:spacing w:after="0" w:lineRule="auto" w:line="360"/>
              <w:ind w:left="60" w:right="60"/>
              <w:jc w:val="right"/>
              <w:rPr>
                <w:rFonts w:ascii="Times New Roman" w:cs="Times New Roman" w:hAnsi="Times New Roman"/>
                <w:color w:val="010205"/>
                <w:sz w:val="22"/>
                <w:szCs w:val="22"/>
              </w:rPr>
            </w:pPr>
            <w:r>
              <w:rPr>
                <w:rFonts w:ascii="Times New Roman" w:cs="Times New Roman" w:hAnsi="Times New Roman"/>
                <w:color w:val="010205"/>
                <w:sz w:val="22"/>
                <w:szCs w:val="22"/>
              </w:rPr>
              <w:t>1.16</w:t>
            </w:r>
          </w:p>
        </w:tc>
        <w:tc>
          <w:tcPr>
            <w:tcW w:w="1297" w:type="dxa"/>
            <w:tcBorders>
              <w:top w:val="single" w:sz="4" w:space="0" w:color="auto"/>
            </w:tcBorders>
          </w:tcPr>
          <w:p>
            <w:pPr>
              <w:pStyle w:val="style0"/>
              <w:autoSpaceDE w:val="false"/>
              <w:autoSpaceDN w:val="false"/>
              <w:adjustRightInd w:val="false"/>
              <w:spacing w:after="0" w:lineRule="auto" w:line="360"/>
              <w:ind w:left="60" w:right="60"/>
              <w:jc w:val="center"/>
              <w:rPr>
                <w:rFonts w:ascii="Times New Roman" w:cs="Times New Roman" w:hAnsi="Times New Roman"/>
                <w:color w:val="000000"/>
                <w:sz w:val="22"/>
                <w:szCs w:val="22"/>
              </w:rPr>
            </w:pPr>
            <w:r>
              <w:rPr>
                <w:rFonts w:ascii="Times New Roman" w:cs="Times New Roman" w:hAnsi="Times New Roman"/>
                <w:color w:val="000000"/>
                <w:sz w:val="22"/>
                <w:szCs w:val="22"/>
              </w:rPr>
              <w:t xml:space="preserve">Disagree </w:t>
            </w:r>
          </w:p>
        </w:tc>
      </w:tr>
      <w:tr>
        <w:tblPrEx/>
        <w:trPr>
          <w:trHeight w:val="889" w:hRule="atLeast"/>
        </w:trPr>
        <w:tc>
          <w:tcPr>
            <w:tcW w:w="617" w:type="dxa"/>
            <w:tcBorders/>
          </w:tcPr>
          <w:p>
            <w:pPr>
              <w:pStyle w:val="style4099"/>
              <w:tabs>
                <w:tab w:val="left" w:leader="none" w:pos="8460"/>
                <w:tab w:val="left" w:leader="none" w:pos="9270"/>
              </w:tabs>
              <w:spacing w:after="0" w:lineRule="auto" w:line="360"/>
              <w:ind w:left="0"/>
              <w:jc w:val="both"/>
              <w:rPr>
                <w:rFonts w:ascii="Times New Roman" w:cs="Times New Roman" w:hAnsi="Times New Roman"/>
                <w:color w:val="000000"/>
                <w:sz w:val="22"/>
                <w:szCs w:val="22"/>
              </w:rPr>
            </w:pPr>
            <w:r>
              <w:rPr>
                <w:rFonts w:ascii="Times New Roman" w:cs="Times New Roman" w:hAnsi="Times New Roman"/>
                <w:color w:val="000000"/>
                <w:sz w:val="22"/>
                <w:szCs w:val="22"/>
              </w:rPr>
              <w:t>2</w:t>
            </w:r>
          </w:p>
        </w:tc>
        <w:tc>
          <w:tcPr>
            <w:tcW w:w="2943" w:type="dxa"/>
            <w:tcBorders/>
            <w:shd w:val="clear" w:color="auto" w:fill="auto"/>
          </w:tcPr>
          <w:p>
            <w:pPr>
              <w:pStyle w:val="style0"/>
              <w:spacing w:before="100" w:beforeAutospacing="true" w:after="0" w:lineRule="auto" w:line="360"/>
              <w:jc w:val="both"/>
              <w:rPr>
                <w:rFonts w:ascii="Times New Roman" w:cs="Times New Roman" w:eastAsia="Times New Roman" w:hAnsi="Times New Roman"/>
                <w:sz w:val="22"/>
                <w:szCs w:val="22"/>
              </w:rPr>
            </w:pPr>
            <w:r>
              <w:rPr>
                <w:rFonts w:ascii="Times New Roman" w:cs="Times New Roman" w:eastAsia="Times New Roman" w:hAnsi="Times New Roman"/>
                <w:bCs/>
                <w:sz w:val="22"/>
                <w:szCs w:val="22"/>
              </w:rPr>
              <w:t>A pregnant woman with Hepatitis B cannot have a healthy baby</w:t>
            </w:r>
          </w:p>
        </w:tc>
        <w:tc>
          <w:tcPr>
            <w:tcW w:w="1230" w:type="dxa"/>
            <w:tcBorders/>
            <w:shd w:val="clear" w:color="auto" w:fill="auto"/>
          </w:tcPr>
          <w:p>
            <w:pPr>
              <w:pStyle w:val="style0"/>
              <w:autoSpaceDE w:val="false"/>
              <w:autoSpaceDN w:val="false"/>
              <w:adjustRightInd w:val="false"/>
              <w:spacing w:after="0" w:lineRule="auto" w:line="360"/>
              <w:ind w:left="60" w:right="60"/>
              <w:jc w:val="right"/>
              <w:rPr>
                <w:rFonts w:ascii="Times New Roman" w:cs="Times New Roman" w:hAnsi="Times New Roman"/>
                <w:color w:val="010205"/>
                <w:sz w:val="22"/>
                <w:szCs w:val="22"/>
              </w:rPr>
            </w:pPr>
            <w:r>
              <w:rPr>
                <w:rFonts w:ascii="Times New Roman" w:cs="Times New Roman" w:hAnsi="Times New Roman"/>
                <w:color w:val="010205"/>
                <w:sz w:val="22"/>
                <w:szCs w:val="22"/>
              </w:rPr>
              <w:t>111</w:t>
            </w:r>
          </w:p>
        </w:tc>
        <w:tc>
          <w:tcPr>
            <w:tcW w:w="1350" w:type="dxa"/>
            <w:tcBorders/>
            <w:shd w:val="clear" w:color="auto" w:fill="auto"/>
          </w:tcPr>
          <w:p>
            <w:pPr>
              <w:pStyle w:val="style0"/>
              <w:autoSpaceDE w:val="false"/>
              <w:autoSpaceDN w:val="false"/>
              <w:adjustRightInd w:val="false"/>
              <w:spacing w:after="0" w:lineRule="auto" w:line="360"/>
              <w:ind w:left="60" w:right="60"/>
              <w:jc w:val="right"/>
              <w:rPr>
                <w:rFonts w:ascii="Times New Roman" w:cs="Times New Roman" w:hAnsi="Times New Roman"/>
                <w:color w:val="010205"/>
                <w:sz w:val="22"/>
                <w:szCs w:val="22"/>
              </w:rPr>
            </w:pPr>
            <w:r>
              <w:rPr>
                <w:rFonts w:ascii="Times New Roman" w:cs="Times New Roman" w:hAnsi="Times New Roman"/>
                <w:color w:val="010205"/>
                <w:sz w:val="22"/>
                <w:szCs w:val="22"/>
              </w:rPr>
              <w:t>3.65</w:t>
            </w:r>
          </w:p>
        </w:tc>
        <w:tc>
          <w:tcPr>
            <w:tcW w:w="1362" w:type="dxa"/>
            <w:tcBorders/>
            <w:shd w:val="clear" w:color="auto" w:fill="auto"/>
          </w:tcPr>
          <w:p>
            <w:pPr>
              <w:pStyle w:val="style0"/>
              <w:autoSpaceDE w:val="false"/>
              <w:autoSpaceDN w:val="false"/>
              <w:adjustRightInd w:val="false"/>
              <w:spacing w:after="0" w:lineRule="auto" w:line="360"/>
              <w:ind w:left="60" w:right="60"/>
              <w:jc w:val="right"/>
              <w:rPr>
                <w:rFonts w:ascii="Times New Roman" w:cs="Times New Roman" w:hAnsi="Times New Roman"/>
                <w:color w:val="010205"/>
                <w:sz w:val="22"/>
                <w:szCs w:val="22"/>
              </w:rPr>
            </w:pPr>
            <w:r>
              <w:rPr>
                <w:rFonts w:ascii="Times New Roman" w:cs="Times New Roman" w:hAnsi="Times New Roman"/>
                <w:color w:val="010205"/>
                <w:sz w:val="22"/>
                <w:szCs w:val="22"/>
              </w:rPr>
              <w:t>.85</w:t>
            </w:r>
          </w:p>
        </w:tc>
        <w:tc>
          <w:tcPr>
            <w:tcW w:w="1297" w:type="dxa"/>
            <w:tcBorders/>
          </w:tcPr>
          <w:p>
            <w:pPr>
              <w:pStyle w:val="style0"/>
              <w:autoSpaceDE w:val="false"/>
              <w:autoSpaceDN w:val="false"/>
              <w:adjustRightInd w:val="false"/>
              <w:spacing w:after="0" w:lineRule="auto" w:line="360"/>
              <w:ind w:left="60" w:right="60"/>
              <w:jc w:val="center"/>
              <w:rPr>
                <w:rFonts w:ascii="Times New Roman" w:cs="Times New Roman" w:hAnsi="Times New Roman"/>
                <w:color w:val="000000"/>
                <w:sz w:val="22"/>
                <w:szCs w:val="22"/>
              </w:rPr>
            </w:pPr>
            <w:r>
              <w:rPr>
                <w:rFonts w:ascii="Times New Roman" w:cs="Times New Roman" w:hAnsi="Times New Roman"/>
                <w:color w:val="000000"/>
                <w:sz w:val="22"/>
                <w:szCs w:val="22"/>
              </w:rPr>
              <w:t xml:space="preserve">Disagree </w:t>
            </w:r>
          </w:p>
        </w:tc>
      </w:tr>
      <w:tr>
        <w:tblPrEx/>
        <w:trPr>
          <w:trHeight w:val="592" w:hRule="atLeast"/>
        </w:trPr>
        <w:tc>
          <w:tcPr>
            <w:tcW w:w="617" w:type="dxa"/>
            <w:tcBorders/>
          </w:tcPr>
          <w:p>
            <w:pPr>
              <w:pStyle w:val="style4099"/>
              <w:tabs>
                <w:tab w:val="left" w:leader="none" w:pos="8460"/>
                <w:tab w:val="left" w:leader="none" w:pos="9270"/>
              </w:tabs>
              <w:spacing w:after="0" w:lineRule="auto" w:line="360"/>
              <w:ind w:left="0"/>
              <w:jc w:val="both"/>
              <w:rPr>
                <w:rFonts w:ascii="Times New Roman" w:cs="Times New Roman" w:hAnsi="Times New Roman"/>
                <w:color w:val="000000"/>
                <w:sz w:val="22"/>
                <w:szCs w:val="22"/>
              </w:rPr>
            </w:pPr>
            <w:r>
              <w:rPr>
                <w:rFonts w:ascii="Times New Roman" w:cs="Times New Roman" w:hAnsi="Times New Roman"/>
                <w:color w:val="000000"/>
                <w:sz w:val="22"/>
                <w:szCs w:val="22"/>
              </w:rPr>
              <w:t>3</w:t>
            </w:r>
          </w:p>
        </w:tc>
        <w:tc>
          <w:tcPr>
            <w:tcW w:w="2943" w:type="dxa"/>
            <w:tcBorders/>
            <w:shd w:val="clear" w:color="auto" w:fill="auto"/>
          </w:tcPr>
          <w:p>
            <w:pPr>
              <w:pStyle w:val="style0"/>
              <w:spacing w:before="100" w:beforeAutospacing="true" w:after="0" w:lineRule="auto" w:line="360"/>
              <w:jc w:val="both"/>
              <w:rPr>
                <w:rFonts w:ascii="Times New Roman" w:cs="Times New Roman" w:eastAsia="Times New Roman" w:hAnsi="Times New Roman"/>
                <w:sz w:val="22"/>
                <w:szCs w:val="22"/>
              </w:rPr>
            </w:pPr>
            <w:r>
              <w:rPr>
                <w:rFonts w:ascii="Times New Roman" w:cs="Times New Roman" w:eastAsia="Times New Roman" w:hAnsi="Times New Roman"/>
                <w:sz w:val="22"/>
                <w:szCs w:val="22"/>
              </w:rPr>
              <w:t>Vaccination is an effective way to prevent Hepatitis B infection</w:t>
            </w:r>
          </w:p>
        </w:tc>
        <w:tc>
          <w:tcPr>
            <w:tcW w:w="1230" w:type="dxa"/>
            <w:tcBorders/>
            <w:shd w:val="clear" w:color="auto" w:fill="auto"/>
          </w:tcPr>
          <w:p>
            <w:pPr>
              <w:pStyle w:val="style0"/>
              <w:autoSpaceDE w:val="false"/>
              <w:autoSpaceDN w:val="false"/>
              <w:adjustRightInd w:val="false"/>
              <w:spacing w:after="0" w:lineRule="auto" w:line="360"/>
              <w:ind w:left="60" w:right="60"/>
              <w:jc w:val="right"/>
              <w:rPr>
                <w:rFonts w:ascii="Times New Roman" w:cs="Times New Roman" w:hAnsi="Times New Roman"/>
                <w:color w:val="010205"/>
                <w:sz w:val="22"/>
                <w:szCs w:val="22"/>
              </w:rPr>
            </w:pPr>
            <w:r>
              <w:rPr>
                <w:rFonts w:ascii="Times New Roman" w:cs="Times New Roman" w:hAnsi="Times New Roman"/>
                <w:color w:val="010205"/>
                <w:sz w:val="22"/>
                <w:szCs w:val="22"/>
              </w:rPr>
              <w:t>111</w:t>
            </w:r>
          </w:p>
        </w:tc>
        <w:tc>
          <w:tcPr>
            <w:tcW w:w="1350" w:type="dxa"/>
            <w:tcBorders/>
            <w:shd w:val="clear" w:color="auto" w:fill="auto"/>
          </w:tcPr>
          <w:p>
            <w:pPr>
              <w:pStyle w:val="style0"/>
              <w:autoSpaceDE w:val="false"/>
              <w:autoSpaceDN w:val="false"/>
              <w:adjustRightInd w:val="false"/>
              <w:spacing w:after="0" w:lineRule="auto" w:line="360"/>
              <w:ind w:left="60" w:right="60"/>
              <w:jc w:val="right"/>
              <w:rPr>
                <w:rFonts w:ascii="Times New Roman" w:cs="Times New Roman" w:hAnsi="Times New Roman"/>
                <w:color w:val="010205"/>
                <w:sz w:val="22"/>
                <w:szCs w:val="22"/>
              </w:rPr>
            </w:pPr>
            <w:r>
              <w:rPr>
                <w:rFonts w:ascii="Times New Roman" w:cs="Times New Roman" w:hAnsi="Times New Roman"/>
                <w:color w:val="010205"/>
                <w:sz w:val="22"/>
                <w:szCs w:val="22"/>
              </w:rPr>
              <w:t>3.82</w:t>
            </w:r>
          </w:p>
        </w:tc>
        <w:tc>
          <w:tcPr>
            <w:tcW w:w="1362" w:type="dxa"/>
            <w:tcBorders/>
            <w:shd w:val="clear" w:color="auto" w:fill="auto"/>
          </w:tcPr>
          <w:p>
            <w:pPr>
              <w:pStyle w:val="style0"/>
              <w:autoSpaceDE w:val="false"/>
              <w:autoSpaceDN w:val="false"/>
              <w:adjustRightInd w:val="false"/>
              <w:spacing w:after="0" w:lineRule="auto" w:line="360"/>
              <w:ind w:left="60" w:right="60"/>
              <w:jc w:val="right"/>
              <w:rPr>
                <w:rFonts w:ascii="Times New Roman" w:cs="Times New Roman" w:hAnsi="Times New Roman"/>
                <w:color w:val="010205"/>
                <w:sz w:val="22"/>
                <w:szCs w:val="22"/>
              </w:rPr>
            </w:pPr>
            <w:r>
              <w:rPr>
                <w:rFonts w:ascii="Times New Roman" w:cs="Times New Roman" w:hAnsi="Times New Roman"/>
                <w:color w:val="010205"/>
                <w:sz w:val="22"/>
                <w:szCs w:val="22"/>
              </w:rPr>
              <w:t>.48</w:t>
            </w:r>
          </w:p>
        </w:tc>
        <w:tc>
          <w:tcPr>
            <w:tcW w:w="1297" w:type="dxa"/>
            <w:tcBorders/>
          </w:tcPr>
          <w:p>
            <w:pPr>
              <w:pStyle w:val="style0"/>
              <w:autoSpaceDE w:val="false"/>
              <w:autoSpaceDN w:val="false"/>
              <w:adjustRightInd w:val="false"/>
              <w:spacing w:after="0" w:lineRule="auto" w:line="360"/>
              <w:ind w:right="60"/>
              <w:rPr>
                <w:rFonts w:ascii="Times New Roman" w:cs="Times New Roman" w:hAnsi="Times New Roman"/>
                <w:color w:val="000000"/>
                <w:sz w:val="22"/>
                <w:szCs w:val="22"/>
              </w:rPr>
            </w:pPr>
            <w:r>
              <w:rPr>
                <w:rFonts w:ascii="Times New Roman" w:cs="Times New Roman" w:hAnsi="Times New Roman"/>
                <w:color w:val="000000"/>
                <w:sz w:val="22"/>
                <w:szCs w:val="22"/>
              </w:rPr>
              <w:t xml:space="preserve">    Agree </w:t>
            </w:r>
          </w:p>
        </w:tc>
      </w:tr>
      <w:tr>
        <w:tblPrEx/>
        <w:trPr>
          <w:trHeight w:val="889" w:hRule="atLeast"/>
        </w:trPr>
        <w:tc>
          <w:tcPr>
            <w:tcW w:w="617" w:type="dxa"/>
            <w:tcBorders/>
          </w:tcPr>
          <w:p>
            <w:pPr>
              <w:pStyle w:val="style4099"/>
              <w:tabs>
                <w:tab w:val="left" w:leader="none" w:pos="8460"/>
                <w:tab w:val="left" w:leader="none" w:pos="9270"/>
              </w:tabs>
              <w:spacing w:after="0" w:lineRule="auto" w:line="360"/>
              <w:ind w:left="0"/>
              <w:jc w:val="both"/>
              <w:rPr>
                <w:rFonts w:ascii="Times New Roman" w:cs="Times New Roman" w:hAnsi="Times New Roman"/>
                <w:color w:val="000000"/>
                <w:sz w:val="22"/>
                <w:szCs w:val="22"/>
              </w:rPr>
            </w:pPr>
            <w:r>
              <w:rPr>
                <w:rFonts w:ascii="Times New Roman" w:cs="Times New Roman" w:hAnsi="Times New Roman"/>
                <w:color w:val="000000"/>
                <w:sz w:val="22"/>
                <w:szCs w:val="22"/>
              </w:rPr>
              <w:t>4</w:t>
            </w:r>
          </w:p>
        </w:tc>
        <w:tc>
          <w:tcPr>
            <w:tcW w:w="2943" w:type="dxa"/>
            <w:tcBorders/>
            <w:shd w:val="clear" w:color="auto" w:fill="auto"/>
          </w:tcPr>
          <w:p>
            <w:pPr>
              <w:pStyle w:val="style0"/>
              <w:spacing w:before="100" w:beforeAutospacing="true" w:after="0" w:lineRule="auto" w:line="360"/>
              <w:jc w:val="both"/>
              <w:rPr>
                <w:rFonts w:ascii="Times New Roman" w:cs="Times New Roman" w:eastAsia="Times New Roman" w:hAnsi="Times New Roman"/>
                <w:sz w:val="22"/>
                <w:szCs w:val="22"/>
              </w:rPr>
            </w:pPr>
            <w:r>
              <w:rPr>
                <w:rFonts w:ascii="Times New Roman" w:cs="Times New Roman" w:eastAsia="Times New Roman" w:hAnsi="Times New Roman"/>
                <w:bCs/>
                <w:sz w:val="22"/>
                <w:szCs w:val="22"/>
              </w:rPr>
              <w:t>It is important for all pregnant women to be tested for Hepatitis B</w:t>
            </w:r>
          </w:p>
        </w:tc>
        <w:tc>
          <w:tcPr>
            <w:tcW w:w="1230" w:type="dxa"/>
            <w:tcBorders/>
            <w:shd w:val="clear" w:color="auto" w:fill="auto"/>
          </w:tcPr>
          <w:p>
            <w:pPr>
              <w:pStyle w:val="style0"/>
              <w:autoSpaceDE w:val="false"/>
              <w:autoSpaceDN w:val="false"/>
              <w:adjustRightInd w:val="false"/>
              <w:spacing w:after="0" w:lineRule="auto" w:line="360"/>
              <w:ind w:left="60" w:right="60"/>
              <w:jc w:val="right"/>
              <w:rPr>
                <w:rFonts w:ascii="Times New Roman" w:cs="Times New Roman" w:hAnsi="Times New Roman"/>
                <w:color w:val="010205"/>
                <w:sz w:val="22"/>
                <w:szCs w:val="22"/>
              </w:rPr>
            </w:pPr>
            <w:r>
              <w:rPr>
                <w:rFonts w:ascii="Times New Roman" w:cs="Times New Roman" w:hAnsi="Times New Roman"/>
                <w:color w:val="010205"/>
                <w:sz w:val="22"/>
                <w:szCs w:val="22"/>
              </w:rPr>
              <w:t>111</w:t>
            </w:r>
          </w:p>
        </w:tc>
        <w:tc>
          <w:tcPr>
            <w:tcW w:w="1350" w:type="dxa"/>
            <w:tcBorders/>
            <w:shd w:val="clear" w:color="auto" w:fill="auto"/>
          </w:tcPr>
          <w:p>
            <w:pPr>
              <w:pStyle w:val="style0"/>
              <w:autoSpaceDE w:val="false"/>
              <w:autoSpaceDN w:val="false"/>
              <w:adjustRightInd w:val="false"/>
              <w:spacing w:after="0" w:lineRule="auto" w:line="360"/>
              <w:ind w:left="60" w:right="60"/>
              <w:jc w:val="right"/>
              <w:rPr>
                <w:rFonts w:ascii="Times New Roman" w:cs="Times New Roman" w:hAnsi="Times New Roman"/>
                <w:color w:val="010205"/>
                <w:sz w:val="22"/>
                <w:szCs w:val="22"/>
              </w:rPr>
            </w:pPr>
            <w:r>
              <w:rPr>
                <w:rFonts w:ascii="Times New Roman" w:cs="Times New Roman" w:hAnsi="Times New Roman"/>
                <w:color w:val="010205"/>
                <w:sz w:val="22"/>
                <w:szCs w:val="22"/>
              </w:rPr>
              <w:t>3.62</w:t>
            </w:r>
          </w:p>
        </w:tc>
        <w:tc>
          <w:tcPr>
            <w:tcW w:w="1362" w:type="dxa"/>
            <w:tcBorders/>
            <w:shd w:val="clear" w:color="auto" w:fill="auto"/>
          </w:tcPr>
          <w:p>
            <w:pPr>
              <w:pStyle w:val="style0"/>
              <w:autoSpaceDE w:val="false"/>
              <w:autoSpaceDN w:val="false"/>
              <w:adjustRightInd w:val="false"/>
              <w:spacing w:after="0" w:lineRule="auto" w:line="360"/>
              <w:ind w:left="60" w:right="60"/>
              <w:jc w:val="right"/>
              <w:rPr>
                <w:rFonts w:ascii="Times New Roman" w:cs="Times New Roman" w:hAnsi="Times New Roman"/>
                <w:color w:val="010205"/>
                <w:sz w:val="22"/>
                <w:szCs w:val="22"/>
              </w:rPr>
            </w:pPr>
            <w:r>
              <w:rPr>
                <w:rFonts w:ascii="Times New Roman" w:cs="Times New Roman" w:hAnsi="Times New Roman"/>
                <w:color w:val="010205"/>
                <w:sz w:val="22"/>
                <w:szCs w:val="22"/>
              </w:rPr>
              <w:t>.86</w:t>
            </w:r>
          </w:p>
        </w:tc>
        <w:tc>
          <w:tcPr>
            <w:tcW w:w="1297" w:type="dxa"/>
            <w:tcBorders/>
          </w:tcPr>
          <w:p>
            <w:pPr>
              <w:pStyle w:val="style0"/>
              <w:autoSpaceDE w:val="false"/>
              <w:autoSpaceDN w:val="false"/>
              <w:adjustRightInd w:val="false"/>
              <w:spacing w:after="0" w:lineRule="auto" w:line="360"/>
              <w:ind w:left="60" w:right="60"/>
              <w:rPr>
                <w:rFonts w:ascii="Times New Roman" w:cs="Times New Roman" w:hAnsi="Times New Roman"/>
                <w:color w:val="000000"/>
                <w:sz w:val="22"/>
                <w:szCs w:val="22"/>
              </w:rPr>
            </w:pPr>
            <w:r>
              <w:rPr>
                <w:rFonts w:ascii="Times New Roman" w:cs="Times New Roman" w:hAnsi="Times New Roman"/>
                <w:color w:val="000000"/>
                <w:sz w:val="22"/>
                <w:szCs w:val="22"/>
              </w:rPr>
              <w:t xml:space="preserve">   Agree </w:t>
            </w:r>
          </w:p>
        </w:tc>
      </w:tr>
      <w:tr>
        <w:tblPrEx/>
        <w:trPr>
          <w:trHeight w:val="425" w:hRule="atLeast"/>
        </w:trPr>
        <w:tc>
          <w:tcPr>
            <w:tcW w:w="617" w:type="dxa"/>
            <w:tcBorders>
              <w:bottom w:val="single" w:sz="4" w:space="0" w:color="auto"/>
            </w:tcBorders>
          </w:tcPr>
          <w:p>
            <w:pPr>
              <w:pStyle w:val="style4099"/>
              <w:tabs>
                <w:tab w:val="left" w:leader="none" w:pos="8460"/>
                <w:tab w:val="left" w:leader="none" w:pos="9270"/>
              </w:tabs>
              <w:spacing w:after="0" w:lineRule="auto" w:line="360"/>
              <w:ind w:left="0"/>
              <w:jc w:val="both"/>
              <w:rPr>
                <w:rFonts w:ascii="Times New Roman" w:cs="Times New Roman" w:hAnsi="Times New Roman"/>
                <w:b/>
                <w:color w:val="000000"/>
                <w:sz w:val="22"/>
                <w:szCs w:val="22"/>
              </w:rPr>
            </w:pPr>
          </w:p>
        </w:tc>
        <w:tc>
          <w:tcPr>
            <w:tcW w:w="2943" w:type="dxa"/>
            <w:tcBorders>
              <w:bottom w:val="single" w:sz="4" w:space="0" w:color="auto"/>
            </w:tcBorders>
            <w:shd w:val="clear" w:color="auto" w:fill="auto"/>
          </w:tcPr>
          <w:p>
            <w:pPr>
              <w:pStyle w:val="style0"/>
              <w:spacing w:before="100" w:beforeAutospacing="true" w:after="0" w:lineRule="auto" w:line="360"/>
              <w:jc w:val="both"/>
              <w:rPr>
                <w:rFonts w:ascii="Times New Roman" w:cs="Times New Roman" w:eastAsia="Times New Roman" w:hAnsi="Times New Roman"/>
                <w:b/>
                <w:bCs/>
                <w:sz w:val="22"/>
                <w:szCs w:val="22"/>
              </w:rPr>
            </w:pPr>
            <w:r>
              <w:rPr>
                <w:rFonts w:ascii="Times New Roman" w:cs="Times New Roman" w:eastAsia="Times New Roman" w:hAnsi="Times New Roman"/>
                <w:b/>
                <w:bCs/>
                <w:sz w:val="22"/>
                <w:szCs w:val="22"/>
              </w:rPr>
              <w:t xml:space="preserve">Overall mean </w:t>
            </w:r>
          </w:p>
        </w:tc>
        <w:tc>
          <w:tcPr>
            <w:tcW w:w="1230" w:type="dxa"/>
            <w:tcBorders>
              <w:bottom w:val="single" w:sz="4" w:space="0" w:color="auto"/>
            </w:tcBorders>
            <w:shd w:val="clear" w:color="auto" w:fill="auto"/>
          </w:tcPr>
          <w:p>
            <w:pPr>
              <w:pStyle w:val="style0"/>
              <w:autoSpaceDE w:val="false"/>
              <w:autoSpaceDN w:val="false"/>
              <w:adjustRightInd w:val="false"/>
              <w:spacing w:after="0" w:lineRule="auto" w:line="360"/>
              <w:ind w:left="60" w:right="60"/>
              <w:jc w:val="right"/>
              <w:rPr>
                <w:rFonts w:ascii="Times New Roman" w:cs="Times New Roman" w:hAnsi="Times New Roman"/>
                <w:b/>
                <w:color w:val="010205"/>
                <w:sz w:val="22"/>
                <w:szCs w:val="22"/>
              </w:rPr>
            </w:pPr>
          </w:p>
        </w:tc>
        <w:tc>
          <w:tcPr>
            <w:tcW w:w="1350" w:type="dxa"/>
            <w:tcBorders>
              <w:bottom w:val="single" w:sz="4" w:space="0" w:color="auto"/>
            </w:tcBorders>
            <w:shd w:val="clear" w:color="auto" w:fill="auto"/>
          </w:tcPr>
          <w:p>
            <w:pPr>
              <w:pStyle w:val="style0"/>
              <w:autoSpaceDE w:val="false"/>
              <w:autoSpaceDN w:val="false"/>
              <w:adjustRightInd w:val="false"/>
              <w:spacing w:after="0" w:lineRule="auto" w:line="360"/>
              <w:ind w:left="60" w:right="60"/>
              <w:jc w:val="right"/>
              <w:rPr>
                <w:rFonts w:ascii="Times New Roman" w:cs="Times New Roman" w:hAnsi="Times New Roman"/>
                <w:b/>
                <w:color w:val="010205"/>
                <w:sz w:val="22"/>
                <w:szCs w:val="22"/>
              </w:rPr>
            </w:pPr>
            <w:r>
              <w:rPr>
                <w:rFonts w:ascii="Times New Roman" w:cs="Times New Roman" w:hAnsi="Times New Roman"/>
                <w:b/>
                <w:color w:val="010205"/>
                <w:sz w:val="22"/>
                <w:szCs w:val="22"/>
              </w:rPr>
              <w:t>3.60</w:t>
            </w:r>
          </w:p>
        </w:tc>
        <w:tc>
          <w:tcPr>
            <w:tcW w:w="1362" w:type="dxa"/>
            <w:tcBorders>
              <w:bottom w:val="single" w:sz="4" w:space="0" w:color="auto"/>
            </w:tcBorders>
            <w:shd w:val="clear" w:color="auto" w:fill="auto"/>
          </w:tcPr>
          <w:p>
            <w:pPr>
              <w:pStyle w:val="style0"/>
              <w:autoSpaceDE w:val="false"/>
              <w:autoSpaceDN w:val="false"/>
              <w:adjustRightInd w:val="false"/>
              <w:spacing w:after="0" w:lineRule="auto" w:line="360"/>
              <w:ind w:left="60" w:right="60"/>
              <w:jc w:val="right"/>
              <w:rPr>
                <w:rFonts w:ascii="Times New Roman" w:cs="Times New Roman" w:hAnsi="Times New Roman"/>
                <w:b/>
                <w:color w:val="010205"/>
                <w:sz w:val="22"/>
                <w:szCs w:val="22"/>
              </w:rPr>
            </w:pPr>
            <w:r>
              <w:rPr>
                <w:rFonts w:ascii="Times New Roman" w:cs="Times New Roman" w:hAnsi="Times New Roman"/>
                <w:b/>
                <w:color w:val="010205"/>
                <w:sz w:val="22"/>
                <w:szCs w:val="22"/>
              </w:rPr>
              <w:t>0.84</w:t>
            </w:r>
          </w:p>
        </w:tc>
        <w:tc>
          <w:tcPr>
            <w:tcW w:w="1297" w:type="dxa"/>
            <w:tcBorders>
              <w:bottom w:val="single" w:sz="4" w:space="0" w:color="auto"/>
            </w:tcBorders>
          </w:tcPr>
          <w:p>
            <w:pPr>
              <w:pStyle w:val="style0"/>
              <w:autoSpaceDE w:val="false"/>
              <w:autoSpaceDN w:val="false"/>
              <w:adjustRightInd w:val="false"/>
              <w:spacing w:after="0" w:lineRule="auto" w:line="360"/>
              <w:ind w:left="60" w:right="60"/>
              <w:jc w:val="center"/>
              <w:rPr>
                <w:rFonts w:ascii="Times New Roman" w:cs="Times New Roman" w:hAnsi="Times New Roman"/>
                <w:b/>
                <w:color w:val="000000"/>
                <w:sz w:val="22"/>
                <w:szCs w:val="22"/>
              </w:rPr>
            </w:pPr>
            <w:r>
              <w:rPr>
                <w:rFonts w:ascii="Times New Roman" w:cs="Times New Roman" w:hAnsi="Times New Roman"/>
                <w:b/>
                <w:color w:val="000000"/>
                <w:sz w:val="22"/>
                <w:szCs w:val="22"/>
              </w:rPr>
              <w:t xml:space="preserve">Neutral  </w:t>
            </w:r>
          </w:p>
        </w:tc>
      </w:tr>
    </w:tbl>
    <w:p>
      <w:pPr>
        <w:pStyle w:val="style0"/>
        <w:spacing w:after="0" w:lineRule="auto" w:line="360"/>
        <w:rPr>
          <w:rFonts w:ascii="Times New Roman" w:cs="Times New Roman" w:hAnsi="Times New Roman"/>
          <w:i/>
          <w:sz w:val="22"/>
          <w:szCs w:val="22"/>
        </w:rPr>
      </w:pPr>
    </w:p>
    <w:p>
      <w:pPr>
        <w:pStyle w:val="style0"/>
        <w:spacing w:after="0" w:lineRule="auto" w:line="360"/>
        <w:rPr>
          <w:rFonts w:ascii="Times New Roman" w:cs="Times New Roman" w:hAnsi="Times New Roman"/>
          <w:i/>
          <w:sz w:val="22"/>
          <w:szCs w:val="22"/>
        </w:rPr>
      </w:pPr>
      <w:r>
        <w:rPr>
          <w:rFonts w:ascii="Times New Roman" w:cs="Times New Roman" w:hAnsi="Times New Roman"/>
          <w:i/>
          <w:sz w:val="22"/>
          <w:szCs w:val="22"/>
        </w:rPr>
        <w:br w:type="page"/>
      </w:r>
    </w:p>
    <w:p>
      <w:pPr>
        <w:pStyle w:val="style4099"/>
        <w:tabs>
          <w:tab w:val="left" w:leader="none" w:pos="8460"/>
          <w:tab w:val="left" w:leader="none" w:pos="9270"/>
        </w:tabs>
        <w:spacing w:after="0" w:lineRule="auto" w:line="360"/>
        <w:ind w:left="900" w:hanging="900"/>
        <w:jc w:val="both"/>
        <w:rPr>
          <w:rFonts w:ascii="Times New Roman" w:cs="Times New Roman" w:hAnsi="Times New Roman"/>
          <w:sz w:val="22"/>
          <w:szCs w:val="22"/>
        </w:rPr>
      </w:pPr>
      <w:r>
        <w:rPr>
          <w:rFonts w:ascii="Times New Roman" w:cs="Times New Roman" w:hAnsi="Times New Roman"/>
          <w:sz w:val="22"/>
          <w:szCs w:val="22"/>
        </w:rPr>
        <w:t>Table 4</w:t>
      </w:r>
    </w:p>
    <w:tbl>
      <w:tblPr>
        <w:tblStyle w:val="style154"/>
        <w:tblW w:w="86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80"/>
        <w:gridCol w:w="1260"/>
      </w:tblGrid>
      <w:tr>
        <w:trPr/>
        <w:tc>
          <w:tcPr>
            <w:tcW w:w="7380" w:type="dxa"/>
            <w:tcBorders/>
            <w:shd w:val="clear" w:color="auto" w:fill="auto"/>
          </w:tcPr>
          <w:p>
            <w:pPr>
              <w:pStyle w:val="style4099"/>
              <w:widowControl w:val="false"/>
              <w:tabs>
                <w:tab w:val="left" w:leader="none" w:pos="8460"/>
                <w:tab w:val="left" w:leader="none" w:pos="9270"/>
              </w:tabs>
              <w:spacing w:after="0" w:lineRule="auto" w:line="360"/>
              <w:ind w:left="0"/>
              <w:jc w:val="both"/>
              <w:rPr>
                <w:rFonts w:ascii="Times New Roman" w:cs="Times New Roman" w:hAnsi="Times New Roman"/>
                <w:b/>
                <w:sz w:val="22"/>
                <w:szCs w:val="22"/>
                <w:lang w:val="en-GB"/>
              </w:rPr>
            </w:pPr>
            <w:r>
              <w:rPr>
                <w:rFonts w:ascii="Times New Roman" w:cs="Times New Roman" w:hAnsi="Times New Roman"/>
                <w:b/>
                <w:sz w:val="22"/>
                <w:szCs w:val="22"/>
                <w:lang w:val="en-GB"/>
              </w:rPr>
              <w:t>Practices towards hepatitis prevention and management</w:t>
            </w:r>
          </w:p>
        </w:tc>
        <w:tc>
          <w:tcPr>
            <w:tcW w:w="1260" w:type="dxa"/>
            <w:tcBorders/>
            <w:shd w:val="clear" w:color="auto" w:fill="auto"/>
          </w:tcPr>
          <w:p>
            <w:pPr>
              <w:pStyle w:val="style4099"/>
              <w:widowControl w:val="false"/>
              <w:tabs>
                <w:tab w:val="left" w:leader="none" w:pos="8460"/>
                <w:tab w:val="left" w:leader="none" w:pos="9270"/>
              </w:tabs>
              <w:spacing w:after="0" w:lineRule="auto" w:line="360"/>
              <w:ind w:left="0"/>
              <w:jc w:val="both"/>
              <w:rPr>
                <w:rFonts w:ascii="Times New Roman" w:cs="Times New Roman" w:hAnsi="Times New Roman"/>
                <w:sz w:val="22"/>
                <w:szCs w:val="22"/>
                <w:lang w:val="en-GB"/>
              </w:rPr>
            </w:pPr>
            <w:r>
              <w:rPr>
                <w:rFonts w:ascii="Times New Roman" w:cs="Times New Roman" w:hAnsi="Times New Roman"/>
                <w:sz w:val="22"/>
                <w:szCs w:val="22"/>
                <w:lang w:val="en-GB"/>
              </w:rPr>
              <w:t>N(%)</w:t>
            </w:r>
          </w:p>
        </w:tc>
      </w:tr>
      <w:tr>
        <w:tblPrEx/>
        <w:trPr/>
        <w:tc>
          <w:tcPr>
            <w:tcW w:w="7380" w:type="dxa"/>
            <w:tcBorders/>
          </w:tcPr>
          <w:p>
            <w:pPr>
              <w:pStyle w:val="style4099"/>
              <w:widowControl w:val="false"/>
              <w:tabs>
                <w:tab w:val="left" w:leader="none" w:pos="8460"/>
                <w:tab w:val="left" w:leader="none" w:pos="9270"/>
              </w:tabs>
              <w:spacing w:after="0" w:lineRule="auto" w:line="360"/>
              <w:ind w:left="0"/>
              <w:jc w:val="both"/>
              <w:rPr>
                <w:rFonts w:ascii="Times New Roman" w:cs="Times New Roman" w:hAnsi="Times New Roman"/>
                <w:b/>
                <w:sz w:val="22"/>
                <w:szCs w:val="22"/>
                <w:lang w:val="en-GB"/>
              </w:rPr>
            </w:pPr>
            <w:r>
              <w:rPr>
                <w:rFonts w:ascii="Times New Roman" w:cs="Times New Roman" w:hAnsi="Times New Roman"/>
                <w:b/>
                <w:sz w:val="22"/>
                <w:szCs w:val="22"/>
                <w:lang w:val="en-GB"/>
              </w:rPr>
              <w:t>Have you ever been tested of Hepatitis B?</w:t>
            </w:r>
          </w:p>
          <w:p>
            <w:pPr>
              <w:pStyle w:val="style4099"/>
              <w:widowControl w:val="false"/>
              <w:tabs>
                <w:tab w:val="left" w:leader="none" w:pos="8460"/>
                <w:tab w:val="left" w:leader="none" w:pos="9270"/>
              </w:tabs>
              <w:spacing w:after="0" w:lineRule="auto" w:line="360"/>
              <w:ind w:left="0"/>
              <w:jc w:val="both"/>
              <w:rPr>
                <w:rFonts w:ascii="Times New Roman" w:cs="Times New Roman" w:hAnsi="Times New Roman"/>
                <w:sz w:val="22"/>
                <w:szCs w:val="22"/>
                <w:lang w:val="en-GB"/>
              </w:rPr>
            </w:pPr>
            <w:r>
              <w:rPr>
                <w:rFonts w:ascii="Times New Roman" w:cs="Times New Roman" w:hAnsi="Times New Roman"/>
                <w:sz w:val="22"/>
                <w:szCs w:val="22"/>
                <w:lang w:val="en-GB"/>
              </w:rPr>
              <w:t xml:space="preserve">Yes </w:t>
            </w:r>
          </w:p>
          <w:p>
            <w:pPr>
              <w:pStyle w:val="style4099"/>
              <w:widowControl w:val="false"/>
              <w:tabs>
                <w:tab w:val="left" w:leader="none" w:pos="8460"/>
                <w:tab w:val="left" w:leader="none" w:pos="9270"/>
              </w:tabs>
              <w:spacing w:after="0" w:lineRule="auto" w:line="360"/>
              <w:ind w:left="0"/>
              <w:jc w:val="both"/>
              <w:rPr>
                <w:rFonts w:ascii="Times New Roman" w:cs="Times New Roman" w:hAnsi="Times New Roman"/>
                <w:sz w:val="22"/>
                <w:szCs w:val="22"/>
                <w:lang w:val="en-GB"/>
              </w:rPr>
            </w:pPr>
            <w:r>
              <w:rPr>
                <w:rFonts w:ascii="Times New Roman" w:cs="Times New Roman" w:hAnsi="Times New Roman"/>
                <w:sz w:val="22"/>
                <w:szCs w:val="22"/>
                <w:lang w:val="en-GB"/>
              </w:rPr>
              <w:t xml:space="preserve">No </w:t>
            </w:r>
          </w:p>
          <w:p>
            <w:pPr>
              <w:pStyle w:val="style4099"/>
              <w:widowControl w:val="false"/>
              <w:tabs>
                <w:tab w:val="left" w:leader="none" w:pos="8460"/>
                <w:tab w:val="left" w:leader="none" w:pos="9270"/>
              </w:tabs>
              <w:spacing w:after="0" w:lineRule="auto" w:line="360"/>
              <w:ind w:left="0"/>
              <w:jc w:val="both"/>
              <w:rPr>
                <w:rFonts w:ascii="Times New Roman" w:cs="Times New Roman" w:hAnsi="Times New Roman"/>
                <w:b/>
                <w:sz w:val="22"/>
                <w:szCs w:val="22"/>
                <w:lang w:val="en-GB"/>
              </w:rPr>
            </w:pPr>
            <w:r>
              <w:rPr>
                <w:rFonts w:ascii="Times New Roman" w:cs="Times New Roman" w:hAnsi="Times New Roman"/>
                <w:b/>
                <w:sz w:val="22"/>
                <w:szCs w:val="22"/>
                <w:lang w:val="en-GB"/>
              </w:rPr>
              <w:t>Do you plan to get vaccinated against Hepatitis B during pregnancy?</w:t>
            </w:r>
          </w:p>
          <w:p>
            <w:pPr>
              <w:pStyle w:val="style4099"/>
              <w:widowControl w:val="false"/>
              <w:tabs>
                <w:tab w:val="left" w:leader="none" w:pos="8460"/>
                <w:tab w:val="left" w:leader="none" w:pos="9270"/>
              </w:tabs>
              <w:spacing w:after="0" w:lineRule="auto" w:line="360"/>
              <w:ind w:left="0"/>
              <w:jc w:val="both"/>
              <w:rPr>
                <w:rFonts w:ascii="Times New Roman" w:cs="Times New Roman" w:hAnsi="Times New Roman"/>
                <w:sz w:val="22"/>
                <w:szCs w:val="22"/>
                <w:lang w:val="en-GB"/>
              </w:rPr>
            </w:pPr>
            <w:r>
              <w:rPr>
                <w:rFonts w:ascii="Times New Roman" w:cs="Times New Roman" w:hAnsi="Times New Roman"/>
                <w:sz w:val="22"/>
                <w:szCs w:val="22"/>
                <w:lang w:val="en-GB"/>
              </w:rPr>
              <w:t xml:space="preserve">Yes </w:t>
            </w:r>
          </w:p>
          <w:p>
            <w:pPr>
              <w:pStyle w:val="style4099"/>
              <w:widowControl w:val="false"/>
              <w:tabs>
                <w:tab w:val="left" w:leader="none" w:pos="8460"/>
                <w:tab w:val="left" w:leader="none" w:pos="9270"/>
              </w:tabs>
              <w:spacing w:after="0" w:lineRule="auto" w:line="360"/>
              <w:ind w:left="0"/>
              <w:jc w:val="both"/>
              <w:rPr>
                <w:rFonts w:ascii="Times New Roman" w:cs="Times New Roman" w:hAnsi="Times New Roman"/>
                <w:sz w:val="22"/>
                <w:szCs w:val="22"/>
                <w:lang w:val="en-GB"/>
              </w:rPr>
            </w:pPr>
            <w:r>
              <w:rPr>
                <w:rFonts w:ascii="Times New Roman" w:cs="Times New Roman" w:hAnsi="Times New Roman"/>
                <w:sz w:val="22"/>
                <w:szCs w:val="22"/>
                <w:lang w:val="en-GB"/>
              </w:rPr>
              <w:t xml:space="preserve">No </w:t>
            </w:r>
          </w:p>
          <w:p>
            <w:pPr>
              <w:pStyle w:val="style4099"/>
              <w:widowControl w:val="false"/>
              <w:tabs>
                <w:tab w:val="left" w:leader="none" w:pos="8460"/>
                <w:tab w:val="left" w:leader="none" w:pos="9270"/>
              </w:tabs>
              <w:spacing w:after="0" w:lineRule="auto" w:line="360"/>
              <w:ind w:left="0"/>
              <w:jc w:val="both"/>
              <w:rPr>
                <w:rFonts w:ascii="Times New Roman" w:cs="Times New Roman" w:hAnsi="Times New Roman"/>
                <w:b/>
                <w:sz w:val="22"/>
                <w:szCs w:val="22"/>
                <w:lang w:val="en-GB"/>
              </w:rPr>
            </w:pPr>
            <w:r>
              <w:rPr>
                <w:rFonts w:ascii="Times New Roman" w:cs="Times New Roman" w:hAnsi="Times New Roman"/>
                <w:b/>
                <w:sz w:val="22"/>
                <w:szCs w:val="22"/>
                <w:lang w:val="en-GB"/>
              </w:rPr>
              <w:t>Do you share needles or syringe with anyone?</w:t>
            </w:r>
          </w:p>
          <w:p>
            <w:pPr>
              <w:pStyle w:val="style4099"/>
              <w:widowControl w:val="false"/>
              <w:tabs>
                <w:tab w:val="left" w:leader="none" w:pos="8460"/>
                <w:tab w:val="left" w:leader="none" w:pos="9270"/>
              </w:tabs>
              <w:spacing w:after="0" w:lineRule="auto" w:line="360"/>
              <w:ind w:left="0"/>
              <w:jc w:val="both"/>
              <w:rPr>
                <w:rFonts w:ascii="Times New Roman" w:cs="Times New Roman" w:hAnsi="Times New Roman"/>
                <w:sz w:val="22"/>
                <w:szCs w:val="22"/>
                <w:lang w:val="en-GB"/>
              </w:rPr>
            </w:pPr>
            <w:r>
              <w:rPr>
                <w:rFonts w:ascii="Times New Roman" w:cs="Times New Roman" w:hAnsi="Times New Roman"/>
                <w:sz w:val="22"/>
                <w:szCs w:val="22"/>
                <w:lang w:val="en-GB"/>
              </w:rPr>
              <w:t xml:space="preserve">Yes </w:t>
            </w:r>
          </w:p>
          <w:p>
            <w:pPr>
              <w:pStyle w:val="style4099"/>
              <w:widowControl w:val="false"/>
              <w:tabs>
                <w:tab w:val="left" w:leader="none" w:pos="8460"/>
                <w:tab w:val="left" w:leader="none" w:pos="9270"/>
              </w:tabs>
              <w:spacing w:after="0" w:lineRule="auto" w:line="360"/>
              <w:ind w:left="0"/>
              <w:jc w:val="both"/>
              <w:rPr>
                <w:rFonts w:ascii="Times New Roman" w:cs="Times New Roman" w:hAnsi="Times New Roman"/>
                <w:sz w:val="22"/>
                <w:szCs w:val="22"/>
                <w:lang w:val="en-GB"/>
              </w:rPr>
            </w:pPr>
            <w:r>
              <w:rPr>
                <w:rFonts w:ascii="Times New Roman" w:cs="Times New Roman" w:hAnsi="Times New Roman"/>
                <w:sz w:val="22"/>
                <w:szCs w:val="22"/>
                <w:lang w:val="en-GB"/>
              </w:rPr>
              <w:t xml:space="preserve">No </w:t>
            </w:r>
          </w:p>
          <w:p>
            <w:pPr>
              <w:pStyle w:val="style4099"/>
              <w:widowControl w:val="false"/>
              <w:tabs>
                <w:tab w:val="left" w:leader="none" w:pos="8460"/>
                <w:tab w:val="left" w:leader="none" w:pos="9270"/>
              </w:tabs>
              <w:spacing w:after="0" w:lineRule="auto" w:line="360"/>
              <w:ind w:left="0"/>
              <w:jc w:val="both"/>
              <w:rPr>
                <w:rFonts w:ascii="Times New Roman" w:cs="Times New Roman" w:hAnsi="Times New Roman"/>
                <w:b/>
                <w:sz w:val="22"/>
                <w:szCs w:val="22"/>
                <w:lang w:val="en-GB"/>
              </w:rPr>
            </w:pPr>
            <w:r>
              <w:rPr>
                <w:rFonts w:ascii="Times New Roman" w:cs="Times New Roman" w:hAnsi="Times New Roman"/>
                <w:b/>
                <w:sz w:val="22"/>
                <w:szCs w:val="22"/>
                <w:lang w:val="en-GB"/>
              </w:rPr>
              <w:t>Do you have multiple sex partners?</w:t>
            </w:r>
          </w:p>
          <w:p>
            <w:pPr>
              <w:pStyle w:val="style4099"/>
              <w:widowControl w:val="false"/>
              <w:tabs>
                <w:tab w:val="left" w:leader="none" w:pos="8460"/>
                <w:tab w:val="left" w:leader="none" w:pos="9270"/>
              </w:tabs>
              <w:spacing w:after="0" w:lineRule="auto" w:line="360"/>
              <w:ind w:left="0"/>
              <w:jc w:val="both"/>
              <w:rPr>
                <w:rFonts w:ascii="Times New Roman" w:cs="Times New Roman" w:hAnsi="Times New Roman"/>
                <w:sz w:val="22"/>
                <w:szCs w:val="22"/>
                <w:lang w:val="en-GB"/>
              </w:rPr>
            </w:pPr>
            <w:r>
              <w:rPr>
                <w:rFonts w:ascii="Times New Roman" w:cs="Times New Roman" w:hAnsi="Times New Roman"/>
                <w:sz w:val="22"/>
                <w:szCs w:val="22"/>
                <w:lang w:val="en-GB"/>
              </w:rPr>
              <w:t xml:space="preserve">Yes </w:t>
            </w:r>
          </w:p>
          <w:p>
            <w:pPr>
              <w:pStyle w:val="style4099"/>
              <w:widowControl w:val="false"/>
              <w:tabs>
                <w:tab w:val="left" w:leader="none" w:pos="8460"/>
                <w:tab w:val="left" w:leader="none" w:pos="9270"/>
              </w:tabs>
              <w:spacing w:after="0" w:lineRule="auto" w:line="360"/>
              <w:ind w:left="0"/>
              <w:jc w:val="both"/>
              <w:rPr>
                <w:rFonts w:ascii="Times New Roman" w:cs="Times New Roman" w:hAnsi="Times New Roman"/>
                <w:sz w:val="22"/>
                <w:szCs w:val="22"/>
                <w:lang w:val="en-GB"/>
              </w:rPr>
            </w:pPr>
            <w:r>
              <w:rPr>
                <w:rFonts w:ascii="Times New Roman" w:cs="Times New Roman" w:hAnsi="Times New Roman"/>
                <w:sz w:val="22"/>
                <w:szCs w:val="22"/>
                <w:lang w:val="en-GB"/>
              </w:rPr>
              <w:t>No</w:t>
            </w:r>
            <w:r>
              <w:rPr>
                <w:rFonts w:ascii="Times New Roman" w:cs="Times New Roman" w:hAnsi="Times New Roman"/>
                <w:b/>
                <w:sz w:val="22"/>
                <w:szCs w:val="22"/>
                <w:lang w:val="en-GB"/>
              </w:rPr>
              <w:t xml:space="preserve"> </w:t>
            </w:r>
          </w:p>
        </w:tc>
        <w:tc>
          <w:tcPr>
            <w:tcW w:w="1260" w:type="dxa"/>
            <w:tcBorders/>
          </w:tcPr>
          <w:p>
            <w:pPr>
              <w:pStyle w:val="style4099"/>
              <w:widowControl w:val="false"/>
              <w:tabs>
                <w:tab w:val="left" w:leader="none" w:pos="8460"/>
                <w:tab w:val="left" w:leader="none" w:pos="9270"/>
              </w:tabs>
              <w:spacing w:after="0" w:lineRule="auto" w:line="360"/>
              <w:ind w:left="0"/>
              <w:jc w:val="both"/>
              <w:rPr>
                <w:rFonts w:ascii="Times New Roman" w:cs="Times New Roman" w:hAnsi="Times New Roman"/>
                <w:sz w:val="22"/>
                <w:szCs w:val="22"/>
                <w:lang w:val="en-GB"/>
              </w:rPr>
            </w:pPr>
          </w:p>
          <w:p>
            <w:pPr>
              <w:pStyle w:val="style4099"/>
              <w:widowControl w:val="false"/>
              <w:tabs>
                <w:tab w:val="left" w:leader="none" w:pos="8460"/>
                <w:tab w:val="left" w:leader="none" w:pos="9270"/>
              </w:tabs>
              <w:spacing w:after="0" w:lineRule="auto" w:line="360"/>
              <w:ind w:left="0"/>
              <w:jc w:val="both"/>
              <w:rPr>
                <w:rFonts w:ascii="Times New Roman" w:cs="Times New Roman" w:hAnsi="Times New Roman"/>
                <w:sz w:val="22"/>
                <w:szCs w:val="22"/>
                <w:lang w:val="en-GB"/>
              </w:rPr>
            </w:pPr>
            <w:r>
              <w:rPr>
                <w:rFonts w:ascii="Times New Roman" w:cs="Times New Roman" w:hAnsi="Times New Roman"/>
                <w:sz w:val="22"/>
                <w:szCs w:val="22"/>
                <w:lang w:val="en-GB"/>
              </w:rPr>
              <w:t>3(2.7)</w:t>
            </w:r>
          </w:p>
          <w:p>
            <w:pPr>
              <w:pStyle w:val="style4099"/>
              <w:widowControl w:val="false"/>
              <w:tabs>
                <w:tab w:val="left" w:leader="none" w:pos="8460"/>
                <w:tab w:val="left" w:leader="none" w:pos="9270"/>
              </w:tabs>
              <w:spacing w:after="0" w:lineRule="auto" w:line="360"/>
              <w:ind w:left="0"/>
              <w:jc w:val="both"/>
              <w:rPr>
                <w:rFonts w:ascii="Times New Roman" w:cs="Times New Roman" w:hAnsi="Times New Roman"/>
                <w:sz w:val="22"/>
                <w:szCs w:val="22"/>
                <w:lang w:val="en-GB"/>
              </w:rPr>
            </w:pPr>
            <w:r>
              <w:rPr>
                <w:rFonts w:ascii="Times New Roman" w:cs="Times New Roman" w:hAnsi="Times New Roman"/>
                <w:sz w:val="22"/>
                <w:szCs w:val="22"/>
                <w:lang w:val="en-GB"/>
              </w:rPr>
              <w:t>108(97.3)</w:t>
            </w:r>
          </w:p>
          <w:p>
            <w:pPr>
              <w:pStyle w:val="style4099"/>
              <w:widowControl w:val="false"/>
              <w:tabs>
                <w:tab w:val="left" w:leader="none" w:pos="8460"/>
                <w:tab w:val="left" w:leader="none" w:pos="9270"/>
              </w:tabs>
              <w:spacing w:after="0" w:lineRule="auto" w:line="360"/>
              <w:ind w:left="0"/>
              <w:jc w:val="both"/>
              <w:rPr>
                <w:rFonts w:ascii="Times New Roman" w:cs="Times New Roman" w:hAnsi="Times New Roman"/>
                <w:sz w:val="22"/>
                <w:szCs w:val="22"/>
                <w:lang w:val="en-GB"/>
              </w:rPr>
            </w:pPr>
          </w:p>
          <w:p>
            <w:pPr>
              <w:pStyle w:val="style4099"/>
              <w:widowControl w:val="false"/>
              <w:tabs>
                <w:tab w:val="left" w:leader="none" w:pos="8460"/>
                <w:tab w:val="left" w:leader="none" w:pos="9270"/>
              </w:tabs>
              <w:spacing w:after="0" w:lineRule="auto" w:line="360"/>
              <w:ind w:left="0"/>
              <w:jc w:val="both"/>
              <w:rPr>
                <w:rFonts w:ascii="Times New Roman" w:cs="Times New Roman" w:hAnsi="Times New Roman"/>
                <w:sz w:val="22"/>
                <w:szCs w:val="22"/>
                <w:lang w:val="en-GB"/>
              </w:rPr>
            </w:pPr>
            <w:r>
              <w:rPr>
                <w:rFonts w:ascii="Times New Roman" w:cs="Times New Roman" w:hAnsi="Times New Roman"/>
                <w:sz w:val="22"/>
                <w:szCs w:val="22"/>
                <w:lang w:val="en-GB"/>
              </w:rPr>
              <w:t>94(84.7)</w:t>
            </w:r>
          </w:p>
          <w:p>
            <w:pPr>
              <w:pStyle w:val="style4099"/>
              <w:widowControl w:val="false"/>
              <w:tabs>
                <w:tab w:val="left" w:leader="none" w:pos="8460"/>
                <w:tab w:val="left" w:leader="none" w:pos="9270"/>
              </w:tabs>
              <w:spacing w:after="0" w:lineRule="auto" w:line="360"/>
              <w:ind w:left="0"/>
              <w:jc w:val="both"/>
              <w:rPr>
                <w:rFonts w:ascii="Times New Roman" w:cs="Times New Roman" w:hAnsi="Times New Roman"/>
                <w:sz w:val="22"/>
                <w:szCs w:val="22"/>
                <w:lang w:val="en-GB"/>
              </w:rPr>
            </w:pPr>
            <w:r>
              <w:rPr>
                <w:rFonts w:ascii="Times New Roman" w:cs="Times New Roman" w:hAnsi="Times New Roman"/>
                <w:sz w:val="22"/>
                <w:szCs w:val="22"/>
                <w:lang w:val="en-GB"/>
              </w:rPr>
              <w:t>17(15.3)</w:t>
            </w:r>
          </w:p>
          <w:p>
            <w:pPr>
              <w:pStyle w:val="style4099"/>
              <w:widowControl w:val="false"/>
              <w:tabs>
                <w:tab w:val="left" w:leader="none" w:pos="8460"/>
                <w:tab w:val="left" w:leader="none" w:pos="9270"/>
              </w:tabs>
              <w:spacing w:after="0" w:lineRule="auto" w:line="360"/>
              <w:ind w:left="0"/>
              <w:jc w:val="both"/>
              <w:rPr>
                <w:rFonts w:ascii="Times New Roman" w:cs="Times New Roman" w:hAnsi="Times New Roman"/>
                <w:sz w:val="22"/>
                <w:szCs w:val="22"/>
                <w:lang w:val="en-GB"/>
              </w:rPr>
            </w:pPr>
          </w:p>
          <w:p>
            <w:pPr>
              <w:pStyle w:val="style4099"/>
              <w:widowControl w:val="false"/>
              <w:tabs>
                <w:tab w:val="left" w:leader="none" w:pos="8460"/>
                <w:tab w:val="left" w:leader="none" w:pos="9270"/>
              </w:tabs>
              <w:spacing w:after="0" w:lineRule="auto" w:line="360"/>
              <w:ind w:left="0"/>
              <w:jc w:val="both"/>
              <w:rPr>
                <w:rFonts w:ascii="Times New Roman" w:cs="Times New Roman" w:hAnsi="Times New Roman"/>
                <w:sz w:val="22"/>
                <w:szCs w:val="22"/>
                <w:lang w:val="en-GB"/>
              </w:rPr>
            </w:pPr>
            <w:r>
              <w:rPr>
                <w:rFonts w:ascii="Times New Roman" w:cs="Times New Roman" w:hAnsi="Times New Roman"/>
                <w:sz w:val="22"/>
                <w:szCs w:val="22"/>
                <w:lang w:val="en-GB"/>
              </w:rPr>
              <w:t>5(4.5)</w:t>
            </w:r>
          </w:p>
          <w:p>
            <w:pPr>
              <w:pStyle w:val="style4099"/>
              <w:widowControl w:val="false"/>
              <w:tabs>
                <w:tab w:val="left" w:leader="none" w:pos="8460"/>
                <w:tab w:val="left" w:leader="none" w:pos="9270"/>
              </w:tabs>
              <w:spacing w:after="0" w:lineRule="auto" w:line="360"/>
              <w:ind w:left="0"/>
              <w:jc w:val="both"/>
              <w:rPr>
                <w:rFonts w:ascii="Times New Roman" w:cs="Times New Roman" w:hAnsi="Times New Roman"/>
                <w:sz w:val="22"/>
                <w:szCs w:val="22"/>
                <w:lang w:val="en-GB"/>
              </w:rPr>
            </w:pPr>
            <w:r>
              <w:rPr>
                <w:rFonts w:ascii="Times New Roman" w:cs="Times New Roman" w:hAnsi="Times New Roman"/>
                <w:sz w:val="22"/>
                <w:szCs w:val="22"/>
                <w:lang w:val="en-GB"/>
              </w:rPr>
              <w:t>106(95.5)</w:t>
            </w:r>
          </w:p>
          <w:p>
            <w:pPr>
              <w:pStyle w:val="style4099"/>
              <w:widowControl w:val="false"/>
              <w:tabs>
                <w:tab w:val="left" w:leader="none" w:pos="8460"/>
                <w:tab w:val="left" w:leader="none" w:pos="9270"/>
              </w:tabs>
              <w:spacing w:after="0" w:lineRule="auto" w:line="360"/>
              <w:ind w:left="0"/>
              <w:jc w:val="both"/>
              <w:rPr>
                <w:rFonts w:ascii="Times New Roman" w:cs="Times New Roman" w:hAnsi="Times New Roman"/>
                <w:sz w:val="22"/>
                <w:szCs w:val="22"/>
                <w:lang w:val="en-GB"/>
              </w:rPr>
            </w:pPr>
          </w:p>
          <w:p>
            <w:pPr>
              <w:pStyle w:val="style4099"/>
              <w:widowControl w:val="false"/>
              <w:tabs>
                <w:tab w:val="left" w:leader="none" w:pos="8460"/>
                <w:tab w:val="left" w:leader="none" w:pos="9270"/>
              </w:tabs>
              <w:spacing w:after="0" w:lineRule="auto" w:line="360"/>
              <w:ind w:left="0"/>
              <w:jc w:val="both"/>
              <w:rPr>
                <w:rFonts w:ascii="Times New Roman" w:cs="Times New Roman" w:hAnsi="Times New Roman"/>
                <w:sz w:val="22"/>
                <w:szCs w:val="22"/>
                <w:lang w:val="en-GB"/>
              </w:rPr>
            </w:pPr>
            <w:r>
              <w:rPr>
                <w:rFonts w:ascii="Times New Roman" w:cs="Times New Roman" w:hAnsi="Times New Roman"/>
                <w:sz w:val="22"/>
                <w:szCs w:val="22"/>
                <w:lang w:val="en-GB"/>
              </w:rPr>
              <w:t>0(0.0)</w:t>
            </w:r>
          </w:p>
          <w:p>
            <w:pPr>
              <w:pStyle w:val="style4099"/>
              <w:widowControl w:val="false"/>
              <w:tabs>
                <w:tab w:val="left" w:leader="none" w:pos="8460"/>
                <w:tab w:val="left" w:leader="none" w:pos="9270"/>
              </w:tabs>
              <w:spacing w:after="0" w:lineRule="auto" w:line="360"/>
              <w:ind w:left="0"/>
              <w:jc w:val="both"/>
              <w:rPr>
                <w:rFonts w:ascii="Times New Roman" w:cs="Times New Roman" w:hAnsi="Times New Roman"/>
                <w:sz w:val="22"/>
                <w:szCs w:val="22"/>
                <w:lang w:val="en-GB"/>
              </w:rPr>
            </w:pPr>
            <w:r>
              <w:rPr>
                <w:rFonts w:ascii="Times New Roman" w:cs="Times New Roman" w:hAnsi="Times New Roman"/>
                <w:sz w:val="22"/>
                <w:szCs w:val="22"/>
                <w:lang w:val="en-GB"/>
              </w:rPr>
              <w:t>111(100)</w:t>
            </w:r>
          </w:p>
        </w:tc>
      </w:tr>
    </w:tbl>
    <w:p>
      <w:pPr>
        <w:pStyle w:val="style4099"/>
        <w:tabs>
          <w:tab w:val="left" w:leader="none" w:pos="8460"/>
          <w:tab w:val="left" w:leader="none" w:pos="9270"/>
        </w:tabs>
        <w:spacing w:after="0" w:lineRule="auto" w:line="360"/>
        <w:ind w:left="900" w:hanging="900"/>
        <w:jc w:val="both"/>
        <w:rPr>
          <w:rFonts w:ascii="Times New Roman" w:cs="Times New Roman" w:hAnsi="Times New Roman"/>
          <w:sz w:val="22"/>
          <w:szCs w:val="22"/>
        </w:rPr>
      </w:pPr>
    </w:p>
    <w:p>
      <w:pPr>
        <w:pStyle w:val="style4099"/>
        <w:tabs>
          <w:tab w:val="left" w:leader="none" w:pos="8460"/>
          <w:tab w:val="left" w:leader="none" w:pos="9270"/>
        </w:tabs>
        <w:spacing w:after="0" w:lineRule="auto" w:line="360"/>
        <w:ind w:left="900" w:hanging="900"/>
        <w:jc w:val="both"/>
        <w:rPr>
          <w:rFonts w:ascii="Times New Roman" w:cs="Times New Roman" w:hAnsi="Times New Roman"/>
          <w:i/>
          <w:sz w:val="22"/>
          <w:szCs w:val="22"/>
        </w:rPr>
      </w:pPr>
    </w:p>
    <w:p>
      <w:pPr>
        <w:pStyle w:val="style4099"/>
        <w:tabs>
          <w:tab w:val="left" w:leader="none" w:pos="8460"/>
          <w:tab w:val="left" w:leader="none" w:pos="9270"/>
        </w:tabs>
        <w:spacing w:after="0" w:lineRule="auto" w:line="360"/>
        <w:ind w:left="900" w:hanging="900"/>
        <w:jc w:val="both"/>
        <w:rPr>
          <w:rFonts w:ascii="Times New Roman" w:cs="Times New Roman" w:hAnsi="Times New Roman"/>
          <w:b/>
          <w:color w:val="000000"/>
          <w:sz w:val="22"/>
          <w:szCs w:val="22"/>
        </w:rPr>
      </w:pPr>
      <w:r>
        <w:rPr>
          <w:rFonts w:ascii="Times New Roman" w:cs="Times New Roman" w:hAnsi="Times New Roman"/>
          <w:b/>
          <w:sz w:val="22"/>
          <w:szCs w:val="22"/>
        </w:rPr>
        <w:t>Table 5. Mean and Standard Deviation of</w:t>
      </w:r>
      <w:r>
        <w:rPr>
          <w:rFonts w:ascii="Times New Roman" w:cs="Times New Roman" w:hAnsi="Times New Roman"/>
          <w:b/>
          <w:color w:val="000000"/>
          <w:sz w:val="22"/>
          <w:szCs w:val="22"/>
        </w:rPr>
        <w:t xml:space="preserve"> Knowledge, Attitude and Practice </w:t>
      </w:r>
    </w:p>
    <w:tbl>
      <w:tblPr>
        <w:tblStyle w:val="style154"/>
        <w:tblW w:w="0" w:type="auto"/>
        <w:tblInd w:w="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
      <w:tblGrid>
        <w:gridCol w:w="1915"/>
        <w:gridCol w:w="1915"/>
        <w:gridCol w:w="1915"/>
        <w:gridCol w:w="1915"/>
        <w:gridCol w:w="1916"/>
      </w:tblGrid>
      <w:tr>
        <w:trPr/>
        <w:tc>
          <w:tcPr>
            <w:tcW w:w="1915" w:type="dxa"/>
            <w:tcBorders>
              <w:top w:val="single" w:sz="4" w:space="0" w:color="auto"/>
              <w:bottom w:val="single" w:sz="4" w:space="0" w:color="auto"/>
            </w:tcBorders>
          </w:tcPr>
          <w:p>
            <w:pPr>
              <w:pStyle w:val="style4099"/>
              <w:widowControl w:val="false"/>
              <w:spacing w:lineRule="auto" w:line="360"/>
              <w:ind w:left="0"/>
              <w:jc w:val="both"/>
              <w:rPr>
                <w:rFonts w:ascii="Times New Roman" w:cs="Times New Roman" w:hAnsi="Times New Roman"/>
                <w:sz w:val="22"/>
                <w:szCs w:val="22"/>
                <w:lang w:val="en-GB"/>
              </w:rPr>
            </w:pPr>
            <w:r>
              <w:rPr>
                <w:rFonts w:ascii="Times New Roman" w:cs="Times New Roman" w:hAnsi="Times New Roman"/>
                <w:sz w:val="22"/>
                <w:szCs w:val="22"/>
                <w:lang w:val="en-GB"/>
              </w:rPr>
              <w:t xml:space="preserve">Variables </w:t>
            </w:r>
          </w:p>
        </w:tc>
        <w:tc>
          <w:tcPr>
            <w:tcW w:w="1915" w:type="dxa"/>
            <w:tcBorders>
              <w:top w:val="single" w:sz="4" w:space="0" w:color="auto"/>
              <w:bottom w:val="single" w:sz="4" w:space="0" w:color="auto"/>
            </w:tcBorders>
          </w:tcPr>
          <w:p>
            <w:pPr>
              <w:pStyle w:val="style4099"/>
              <w:widowControl w:val="false"/>
              <w:tabs>
                <w:tab w:val="left" w:leader="none" w:pos="8460"/>
                <w:tab w:val="left" w:leader="none" w:pos="9270"/>
              </w:tabs>
              <w:spacing w:lineRule="auto" w:line="360"/>
              <w:ind w:left="0"/>
              <w:jc w:val="center"/>
              <w:rPr>
                <w:rFonts w:ascii="Times New Roman" w:cs="Times New Roman" w:hAnsi="Times New Roman"/>
                <w:color w:val="000000"/>
                <w:sz w:val="22"/>
                <w:szCs w:val="22"/>
                <w:lang w:val="en-GB"/>
              </w:rPr>
            </w:pPr>
            <w:r>
              <w:rPr>
                <w:rFonts w:ascii="Times New Roman" w:cs="Times New Roman" w:hAnsi="Times New Roman"/>
                <w:color w:val="000000"/>
                <w:sz w:val="22"/>
                <w:szCs w:val="22"/>
                <w:lang w:val="en-GB"/>
              </w:rPr>
              <w:t>N</w:t>
            </w:r>
          </w:p>
        </w:tc>
        <w:tc>
          <w:tcPr>
            <w:tcW w:w="1915" w:type="dxa"/>
            <w:tcBorders>
              <w:top w:val="single" w:sz="4" w:space="0" w:color="auto"/>
              <w:bottom w:val="single" w:sz="4" w:space="0" w:color="auto"/>
            </w:tcBorders>
          </w:tcPr>
          <w:p>
            <w:pPr>
              <w:pStyle w:val="style4099"/>
              <w:widowControl w:val="false"/>
              <w:tabs>
                <w:tab w:val="left" w:leader="none" w:pos="8460"/>
                <w:tab w:val="left" w:leader="none" w:pos="9270"/>
              </w:tabs>
              <w:spacing w:lineRule="auto" w:line="360"/>
              <w:ind w:left="0"/>
              <w:jc w:val="center"/>
              <w:rPr>
                <w:rFonts w:ascii="Times New Roman" w:cs="Times New Roman" w:hAnsi="Times New Roman"/>
                <w:b/>
                <w:color w:val="000000"/>
                <w:sz w:val="22"/>
                <w:szCs w:val="22"/>
                <w:lang w:val="en-GB"/>
              </w:rPr>
            </w:pPr>
          </w:p>
        </w:tc>
        <w:tc>
          <w:tcPr>
            <w:tcW w:w="1915" w:type="dxa"/>
            <w:tcBorders>
              <w:top w:val="single" w:sz="4" w:space="0" w:color="auto"/>
              <w:bottom w:val="single" w:sz="4" w:space="0" w:color="auto"/>
            </w:tcBorders>
          </w:tcPr>
          <w:p>
            <w:pPr>
              <w:pStyle w:val="style4099"/>
              <w:widowControl w:val="false"/>
              <w:tabs>
                <w:tab w:val="left" w:leader="none" w:pos="8460"/>
                <w:tab w:val="left" w:leader="none" w:pos="9270"/>
              </w:tabs>
              <w:spacing w:lineRule="auto" w:line="360"/>
              <w:ind w:left="0"/>
              <w:jc w:val="center"/>
              <w:rPr>
                <w:rFonts w:ascii="Times New Roman" w:cs="Times New Roman" w:hAnsi="Times New Roman"/>
                <w:color w:val="000000"/>
                <w:sz w:val="22"/>
                <w:szCs w:val="22"/>
                <w:lang w:val="en-GB"/>
              </w:rPr>
            </w:pPr>
            <w:r>
              <w:rPr>
                <w:rFonts w:ascii="Times New Roman" w:cs="Times New Roman" w:hAnsi="Times New Roman"/>
                <w:color w:val="000000"/>
                <w:sz w:val="22"/>
                <w:szCs w:val="22"/>
                <w:lang w:val="en-GB"/>
              </w:rPr>
              <w:t>SD</w:t>
            </w:r>
          </w:p>
        </w:tc>
        <w:tc>
          <w:tcPr>
            <w:tcW w:w="1916" w:type="dxa"/>
            <w:tcBorders>
              <w:top w:val="single" w:sz="4" w:space="0" w:color="auto"/>
              <w:bottom w:val="single" w:sz="4" w:space="0" w:color="auto"/>
            </w:tcBorders>
          </w:tcPr>
          <w:p>
            <w:pPr>
              <w:pStyle w:val="style4099"/>
              <w:widowControl w:val="false"/>
              <w:tabs>
                <w:tab w:val="left" w:leader="none" w:pos="8460"/>
                <w:tab w:val="left" w:leader="none" w:pos="9270"/>
              </w:tabs>
              <w:spacing w:lineRule="auto" w:line="360"/>
              <w:ind w:left="0"/>
              <w:jc w:val="center"/>
              <w:rPr>
                <w:rFonts w:ascii="Times New Roman" w:cs="Times New Roman" w:hAnsi="Times New Roman"/>
                <w:color w:val="000000"/>
                <w:sz w:val="22"/>
                <w:szCs w:val="22"/>
                <w:lang w:val="en-GB"/>
              </w:rPr>
            </w:pPr>
            <w:r>
              <w:rPr>
                <w:rFonts w:ascii="Times New Roman" w:cs="Times New Roman" w:hAnsi="Times New Roman"/>
                <w:color w:val="000000"/>
                <w:sz w:val="22"/>
                <w:szCs w:val="22"/>
                <w:lang w:val="en-GB"/>
              </w:rPr>
              <w:t xml:space="preserve">Decision </w:t>
            </w:r>
          </w:p>
        </w:tc>
      </w:tr>
      <w:tr>
        <w:tblPrEx/>
        <w:trPr/>
        <w:tc>
          <w:tcPr>
            <w:tcW w:w="1915" w:type="dxa"/>
            <w:tcBorders>
              <w:top w:val="single" w:sz="4" w:space="0" w:color="auto"/>
            </w:tcBorders>
          </w:tcPr>
          <w:p>
            <w:pPr>
              <w:pStyle w:val="style4099"/>
              <w:widowControl w:val="false"/>
              <w:spacing w:lineRule="auto" w:line="360"/>
              <w:ind w:left="0"/>
              <w:jc w:val="both"/>
              <w:rPr>
                <w:rFonts w:ascii="Times New Roman" w:cs="Times New Roman" w:hAnsi="Times New Roman"/>
                <w:sz w:val="22"/>
                <w:szCs w:val="22"/>
                <w:lang w:val="en-GB"/>
              </w:rPr>
            </w:pPr>
            <w:r>
              <w:rPr>
                <w:rFonts w:ascii="Times New Roman" w:cs="Times New Roman" w:hAnsi="Times New Roman"/>
                <w:sz w:val="22"/>
                <w:szCs w:val="22"/>
                <w:lang w:val="en-GB"/>
              </w:rPr>
              <w:t xml:space="preserve">Knowledge </w:t>
            </w:r>
          </w:p>
        </w:tc>
        <w:tc>
          <w:tcPr>
            <w:tcW w:w="1915" w:type="dxa"/>
            <w:tcBorders>
              <w:top w:val="single" w:sz="4" w:space="0" w:color="auto"/>
            </w:tcBorders>
          </w:tcPr>
          <w:p>
            <w:pPr>
              <w:pStyle w:val="style4099"/>
              <w:widowControl w:val="false"/>
              <w:spacing w:lineRule="auto" w:line="360"/>
              <w:ind w:left="0"/>
              <w:jc w:val="center"/>
              <w:rPr>
                <w:rFonts w:ascii="Times New Roman" w:cs="Times New Roman" w:hAnsi="Times New Roman"/>
                <w:sz w:val="22"/>
                <w:szCs w:val="22"/>
                <w:lang w:val="en-GB"/>
              </w:rPr>
            </w:pPr>
            <w:r>
              <w:rPr>
                <w:rFonts w:ascii="Times New Roman" w:cs="Times New Roman" w:hAnsi="Times New Roman"/>
                <w:sz w:val="22"/>
                <w:szCs w:val="22"/>
                <w:lang w:val="en-GB"/>
              </w:rPr>
              <w:t>111</w:t>
            </w:r>
          </w:p>
        </w:tc>
        <w:tc>
          <w:tcPr>
            <w:tcW w:w="1915" w:type="dxa"/>
            <w:tcBorders>
              <w:top w:val="single" w:sz="4" w:space="0" w:color="auto"/>
            </w:tcBorders>
          </w:tcPr>
          <w:p>
            <w:pPr>
              <w:pStyle w:val="style4099"/>
              <w:widowControl w:val="false"/>
              <w:spacing w:lineRule="auto" w:line="360"/>
              <w:ind w:left="0"/>
              <w:jc w:val="center"/>
              <w:rPr>
                <w:rFonts w:ascii="Times New Roman" w:cs="Times New Roman" w:hAnsi="Times New Roman"/>
                <w:sz w:val="22"/>
                <w:szCs w:val="22"/>
                <w:lang w:val="en-GB"/>
              </w:rPr>
            </w:pPr>
            <w:r>
              <w:rPr>
                <w:rFonts w:ascii="Times New Roman" w:cs="Times New Roman" w:hAnsi="Times New Roman"/>
                <w:sz w:val="22"/>
                <w:szCs w:val="22"/>
                <w:lang w:val="en-GB"/>
              </w:rPr>
              <w:t>3.39</w:t>
            </w:r>
          </w:p>
        </w:tc>
        <w:tc>
          <w:tcPr>
            <w:tcW w:w="1915" w:type="dxa"/>
            <w:tcBorders>
              <w:top w:val="single" w:sz="4" w:space="0" w:color="auto"/>
            </w:tcBorders>
          </w:tcPr>
          <w:p>
            <w:pPr>
              <w:pStyle w:val="style4099"/>
              <w:widowControl w:val="false"/>
              <w:spacing w:lineRule="auto" w:line="360"/>
              <w:ind w:left="0"/>
              <w:jc w:val="center"/>
              <w:rPr>
                <w:rFonts w:ascii="Times New Roman" w:cs="Times New Roman" w:hAnsi="Times New Roman"/>
                <w:sz w:val="22"/>
                <w:szCs w:val="22"/>
                <w:lang w:val="en-GB"/>
              </w:rPr>
            </w:pPr>
            <w:r>
              <w:rPr>
                <w:rFonts w:ascii="Times New Roman" w:cs="Times New Roman" w:hAnsi="Times New Roman"/>
                <w:sz w:val="22"/>
                <w:szCs w:val="22"/>
                <w:lang w:val="en-GB"/>
              </w:rPr>
              <w:t>0.94</w:t>
            </w:r>
          </w:p>
        </w:tc>
        <w:tc>
          <w:tcPr>
            <w:tcW w:w="1916" w:type="dxa"/>
            <w:tcBorders>
              <w:top w:val="single" w:sz="4" w:space="0" w:color="auto"/>
            </w:tcBorders>
          </w:tcPr>
          <w:p>
            <w:pPr>
              <w:pStyle w:val="style4099"/>
              <w:widowControl w:val="false"/>
              <w:spacing w:lineRule="auto" w:line="360"/>
              <w:ind w:left="0"/>
              <w:jc w:val="both"/>
              <w:rPr>
                <w:rFonts w:ascii="Times New Roman" w:cs="Times New Roman" w:hAnsi="Times New Roman"/>
                <w:sz w:val="22"/>
                <w:szCs w:val="22"/>
                <w:lang w:val="en-GB"/>
              </w:rPr>
            </w:pPr>
            <w:r>
              <w:rPr>
                <w:rFonts w:ascii="Times New Roman" w:cs="Times New Roman" w:hAnsi="Times New Roman"/>
                <w:sz w:val="22"/>
                <w:szCs w:val="22"/>
                <w:lang w:val="en-GB"/>
              </w:rPr>
              <w:t>Very good</w:t>
            </w:r>
          </w:p>
        </w:tc>
      </w:tr>
      <w:tr>
        <w:tblPrEx/>
        <w:trPr/>
        <w:tc>
          <w:tcPr>
            <w:tcW w:w="1915" w:type="dxa"/>
            <w:tcBorders/>
          </w:tcPr>
          <w:p>
            <w:pPr>
              <w:pStyle w:val="style4099"/>
              <w:widowControl w:val="false"/>
              <w:spacing w:lineRule="auto" w:line="360"/>
              <w:ind w:left="0"/>
              <w:jc w:val="both"/>
              <w:rPr>
                <w:rFonts w:ascii="Times New Roman" w:cs="Times New Roman" w:hAnsi="Times New Roman"/>
                <w:sz w:val="22"/>
                <w:szCs w:val="22"/>
                <w:lang w:val="en-GB"/>
              </w:rPr>
            </w:pPr>
            <w:r>
              <w:rPr>
                <w:rFonts w:ascii="Times New Roman" w:cs="Times New Roman" w:hAnsi="Times New Roman"/>
                <w:sz w:val="22"/>
                <w:szCs w:val="22"/>
                <w:lang w:val="en-GB"/>
              </w:rPr>
              <w:t xml:space="preserve">Attitude </w:t>
            </w:r>
          </w:p>
        </w:tc>
        <w:tc>
          <w:tcPr>
            <w:tcW w:w="1915" w:type="dxa"/>
            <w:tcBorders/>
          </w:tcPr>
          <w:p>
            <w:pPr>
              <w:pStyle w:val="style4099"/>
              <w:widowControl w:val="false"/>
              <w:spacing w:lineRule="auto" w:line="360"/>
              <w:ind w:left="0"/>
              <w:jc w:val="center"/>
              <w:rPr>
                <w:rFonts w:ascii="Times New Roman" w:cs="Times New Roman" w:hAnsi="Times New Roman"/>
                <w:sz w:val="22"/>
                <w:szCs w:val="22"/>
                <w:lang w:val="en-GB"/>
              </w:rPr>
            </w:pPr>
            <w:r>
              <w:rPr>
                <w:rFonts w:ascii="Times New Roman" w:cs="Times New Roman" w:hAnsi="Times New Roman"/>
                <w:sz w:val="22"/>
                <w:szCs w:val="22"/>
                <w:lang w:val="en-GB"/>
              </w:rPr>
              <w:t>111</w:t>
            </w:r>
          </w:p>
        </w:tc>
        <w:tc>
          <w:tcPr>
            <w:tcW w:w="1915" w:type="dxa"/>
            <w:tcBorders/>
          </w:tcPr>
          <w:p>
            <w:pPr>
              <w:pStyle w:val="style4099"/>
              <w:widowControl w:val="false"/>
              <w:spacing w:lineRule="auto" w:line="360"/>
              <w:ind w:left="0"/>
              <w:jc w:val="center"/>
              <w:rPr>
                <w:rFonts w:ascii="Times New Roman" w:cs="Times New Roman" w:hAnsi="Times New Roman"/>
                <w:sz w:val="22"/>
                <w:szCs w:val="22"/>
                <w:lang w:val="en-GB"/>
              </w:rPr>
            </w:pPr>
            <w:r>
              <w:rPr>
                <w:rFonts w:ascii="Times New Roman" w:cs="Times New Roman" w:hAnsi="Times New Roman"/>
                <w:sz w:val="22"/>
                <w:szCs w:val="22"/>
                <w:lang w:val="en-GB"/>
              </w:rPr>
              <w:t>3.06</w:t>
            </w:r>
          </w:p>
        </w:tc>
        <w:tc>
          <w:tcPr>
            <w:tcW w:w="1915" w:type="dxa"/>
            <w:tcBorders/>
          </w:tcPr>
          <w:p>
            <w:pPr>
              <w:pStyle w:val="style4099"/>
              <w:widowControl w:val="false"/>
              <w:spacing w:lineRule="auto" w:line="360"/>
              <w:ind w:left="0"/>
              <w:jc w:val="center"/>
              <w:rPr>
                <w:rFonts w:ascii="Times New Roman" w:cs="Times New Roman" w:hAnsi="Times New Roman"/>
                <w:sz w:val="22"/>
                <w:szCs w:val="22"/>
                <w:lang w:val="en-GB"/>
              </w:rPr>
            </w:pPr>
            <w:r>
              <w:rPr>
                <w:rFonts w:ascii="Times New Roman" w:cs="Times New Roman" w:hAnsi="Times New Roman"/>
                <w:sz w:val="22"/>
                <w:szCs w:val="22"/>
                <w:lang w:val="en-GB"/>
              </w:rPr>
              <w:t>1.04</w:t>
            </w:r>
          </w:p>
        </w:tc>
        <w:tc>
          <w:tcPr>
            <w:tcW w:w="1916" w:type="dxa"/>
            <w:tcBorders/>
          </w:tcPr>
          <w:p>
            <w:pPr>
              <w:pStyle w:val="style4099"/>
              <w:widowControl w:val="false"/>
              <w:spacing w:lineRule="auto" w:line="360"/>
              <w:ind w:left="0"/>
              <w:jc w:val="both"/>
              <w:rPr>
                <w:rFonts w:ascii="Times New Roman" w:cs="Times New Roman" w:hAnsi="Times New Roman"/>
                <w:sz w:val="22"/>
                <w:szCs w:val="22"/>
                <w:lang w:val="en-GB"/>
              </w:rPr>
            </w:pPr>
            <w:r>
              <w:rPr>
                <w:rFonts w:ascii="Times New Roman" w:cs="Times New Roman" w:hAnsi="Times New Roman"/>
                <w:sz w:val="22"/>
                <w:szCs w:val="22"/>
                <w:lang w:val="en-GB"/>
              </w:rPr>
              <w:t xml:space="preserve">Neutral </w:t>
            </w:r>
          </w:p>
        </w:tc>
      </w:tr>
      <w:tr>
        <w:tblPrEx/>
        <w:trPr/>
        <w:tc>
          <w:tcPr>
            <w:tcW w:w="1915" w:type="dxa"/>
            <w:tcBorders/>
          </w:tcPr>
          <w:p>
            <w:pPr>
              <w:pStyle w:val="style4099"/>
              <w:widowControl w:val="false"/>
              <w:spacing w:lineRule="auto" w:line="360"/>
              <w:ind w:left="0"/>
              <w:jc w:val="both"/>
              <w:rPr>
                <w:rFonts w:ascii="Times New Roman" w:cs="Times New Roman" w:hAnsi="Times New Roman"/>
                <w:sz w:val="22"/>
                <w:szCs w:val="22"/>
                <w:lang w:val="en-GB"/>
              </w:rPr>
            </w:pPr>
            <w:r>
              <w:rPr>
                <w:rFonts w:ascii="Times New Roman" w:cs="Times New Roman" w:hAnsi="Times New Roman"/>
                <w:sz w:val="22"/>
                <w:szCs w:val="22"/>
                <w:lang w:val="en-GB"/>
              </w:rPr>
              <w:t xml:space="preserve">Practice </w:t>
            </w:r>
          </w:p>
        </w:tc>
        <w:tc>
          <w:tcPr>
            <w:tcW w:w="1915" w:type="dxa"/>
            <w:tcBorders/>
          </w:tcPr>
          <w:p>
            <w:pPr>
              <w:pStyle w:val="style4099"/>
              <w:widowControl w:val="false"/>
              <w:spacing w:lineRule="auto" w:line="360"/>
              <w:ind w:left="0"/>
              <w:jc w:val="center"/>
              <w:rPr>
                <w:rFonts w:ascii="Times New Roman" w:cs="Times New Roman" w:hAnsi="Times New Roman"/>
                <w:sz w:val="22"/>
                <w:szCs w:val="22"/>
                <w:lang w:val="en-GB"/>
              </w:rPr>
            </w:pPr>
            <w:r>
              <w:rPr>
                <w:rFonts w:ascii="Times New Roman" w:cs="Times New Roman" w:hAnsi="Times New Roman"/>
                <w:sz w:val="22"/>
                <w:szCs w:val="22"/>
                <w:lang w:val="en-GB"/>
              </w:rPr>
              <w:t>111</w:t>
            </w:r>
          </w:p>
        </w:tc>
        <w:tc>
          <w:tcPr>
            <w:tcW w:w="1915" w:type="dxa"/>
            <w:tcBorders/>
          </w:tcPr>
          <w:p>
            <w:pPr>
              <w:pStyle w:val="style4099"/>
              <w:widowControl w:val="false"/>
              <w:spacing w:lineRule="auto" w:line="360"/>
              <w:ind w:left="0"/>
              <w:jc w:val="center"/>
              <w:rPr>
                <w:rFonts w:ascii="Times New Roman" w:cs="Times New Roman" w:hAnsi="Times New Roman"/>
                <w:sz w:val="22"/>
                <w:szCs w:val="22"/>
                <w:lang w:val="en-GB"/>
              </w:rPr>
            </w:pPr>
            <w:r>
              <w:rPr>
                <w:rFonts w:ascii="Times New Roman" w:cs="Times New Roman" w:hAnsi="Times New Roman"/>
                <w:sz w:val="22"/>
                <w:szCs w:val="22"/>
                <w:lang w:val="en-GB"/>
              </w:rPr>
              <w:t>3.60</w:t>
            </w:r>
          </w:p>
        </w:tc>
        <w:tc>
          <w:tcPr>
            <w:tcW w:w="1915" w:type="dxa"/>
            <w:tcBorders/>
          </w:tcPr>
          <w:p>
            <w:pPr>
              <w:pStyle w:val="style4099"/>
              <w:widowControl w:val="false"/>
              <w:spacing w:lineRule="auto" w:line="360"/>
              <w:ind w:left="0"/>
              <w:jc w:val="center"/>
              <w:rPr>
                <w:rFonts w:ascii="Times New Roman" w:cs="Times New Roman" w:hAnsi="Times New Roman"/>
                <w:sz w:val="22"/>
                <w:szCs w:val="22"/>
                <w:lang w:val="en-GB"/>
              </w:rPr>
            </w:pPr>
            <w:r>
              <w:rPr>
                <w:rFonts w:ascii="Times New Roman" w:cs="Times New Roman" w:hAnsi="Times New Roman"/>
                <w:sz w:val="22"/>
                <w:szCs w:val="22"/>
                <w:lang w:val="en-GB"/>
              </w:rPr>
              <w:t>0.84</w:t>
            </w:r>
          </w:p>
        </w:tc>
        <w:tc>
          <w:tcPr>
            <w:tcW w:w="1916" w:type="dxa"/>
            <w:tcBorders/>
          </w:tcPr>
          <w:p>
            <w:pPr>
              <w:pStyle w:val="style4099"/>
              <w:widowControl w:val="false"/>
              <w:spacing w:lineRule="auto" w:line="360"/>
              <w:ind w:left="0"/>
              <w:jc w:val="both"/>
              <w:rPr>
                <w:rFonts w:ascii="Times New Roman" w:cs="Times New Roman" w:hAnsi="Times New Roman"/>
                <w:sz w:val="22"/>
                <w:szCs w:val="22"/>
                <w:lang w:val="en-GB"/>
              </w:rPr>
            </w:pPr>
            <w:r>
              <w:rPr>
                <w:rFonts w:ascii="Times New Roman" w:cs="Times New Roman" w:hAnsi="Times New Roman"/>
                <w:sz w:val="22"/>
                <w:szCs w:val="22"/>
                <w:lang w:val="en-GB"/>
              </w:rPr>
              <w:t xml:space="preserve">Excellent </w:t>
            </w:r>
          </w:p>
        </w:tc>
      </w:tr>
    </w:tbl>
    <w:p>
      <w:pPr>
        <w:pStyle w:val="style4099"/>
        <w:spacing w:after="0" w:lineRule="auto" w:line="360"/>
        <w:ind w:left="0"/>
        <w:rPr>
          <w:rFonts w:ascii="Times New Roman" w:cs="Times New Roman" w:hAnsi="Times New Roman"/>
          <w:sz w:val="22"/>
          <w:szCs w:val="22"/>
        </w:rPr>
      </w:pPr>
    </w:p>
    <w:p>
      <w:pPr>
        <w:pStyle w:val="style4099"/>
        <w:spacing w:after="0" w:lineRule="auto" w:line="360"/>
        <w:ind w:left="0"/>
        <w:jc w:val="both"/>
        <w:rPr>
          <w:rFonts w:ascii="Times New Roman" w:cs="Times New Roman" w:hAnsi="Times New Roman"/>
          <w:color w:val="000000"/>
          <w:sz w:val="22"/>
          <w:szCs w:val="22"/>
        </w:rPr>
      </w:pPr>
      <w:r>
        <w:rPr>
          <w:rFonts w:ascii="Times New Roman" w:cs="Times New Roman" w:hAnsi="Times New Roman"/>
          <w:sz w:val="22"/>
          <w:szCs w:val="22"/>
        </w:rPr>
        <w:t xml:space="preserve">The result in Table 5 revealed that weighted overall mean scores and standard deviations of level of knowledge, attitude towards, and level of practice of </w:t>
      </w:r>
      <w:r>
        <w:rPr>
          <w:rFonts w:ascii="Times New Roman" w:cs="Times New Roman" w:eastAsia="Times New Roman" w:hAnsi="Times New Roman"/>
          <w:sz w:val="22"/>
          <w:szCs w:val="22"/>
        </w:rPr>
        <w:t>Hepatitis B virus profile among pregnant women in ESUT teaching hospital Parklane</w:t>
      </w:r>
      <w:r>
        <w:rPr>
          <w:rFonts w:ascii="Times New Roman" w:cs="Times New Roman" w:hAnsi="Times New Roman"/>
          <w:sz w:val="22"/>
          <w:szCs w:val="22"/>
        </w:rPr>
        <w:t xml:space="preserve"> were as follows (</w:t>
      </w:r>
      <w:r>
        <w:rPr>
          <w:rFonts w:ascii="Times New Roman" w:cs="Times New Roman" w:hAnsi="Times New Roman"/>
          <w:color w:val="000000"/>
          <w:sz w:val="22"/>
          <w:szCs w:val="22"/>
        </w:rPr>
        <w:t xml:space="preserve"> = 3.39, SD = 0.94;   = 3.06, SD = 1.04; and   = 3.60, SD = 0.84 respectively). The result confirmed that whereas the participants had very good knowledge of hepatitis B, their practices towards its prevention were excellent, while their attitude towards its management was slightly positive (neutral).</w:t>
      </w:r>
    </w:p>
    <w:p>
      <w:pPr>
        <w:pStyle w:val="style4099"/>
        <w:spacing w:after="0" w:lineRule="auto" w:line="360"/>
        <w:ind w:left="0"/>
        <w:jc w:val="both"/>
        <w:rPr>
          <w:rFonts w:ascii="Times New Roman" w:cs="Times New Roman" w:hAnsi="Times New Roman"/>
          <w:color w:val="000000"/>
          <w:sz w:val="22"/>
          <w:szCs w:val="22"/>
        </w:rPr>
      </w:pPr>
    </w:p>
    <w:p>
      <w:pPr>
        <w:pStyle w:val="style4099"/>
        <w:spacing w:after="0" w:lineRule="auto" w:line="360"/>
        <w:ind w:left="0"/>
        <w:jc w:val="both"/>
        <w:rPr>
          <w:rFonts w:ascii="Times New Roman" w:cs="Times New Roman" w:hAnsi="Times New Roman"/>
          <w:color w:val="000000"/>
          <w:sz w:val="22"/>
          <w:szCs w:val="22"/>
        </w:rPr>
      </w:pPr>
    </w:p>
    <w:p>
      <w:pPr>
        <w:pStyle w:val="style4099"/>
        <w:spacing w:after="0" w:lineRule="auto" w:line="360"/>
        <w:ind w:left="0"/>
        <w:jc w:val="both"/>
        <w:rPr>
          <w:rFonts w:ascii="Times New Roman" w:cs="Times New Roman" w:eastAsia="SimSun" w:hAnsi="Times New Roman"/>
          <w:sz w:val="22"/>
          <w:szCs w:val="22"/>
        </w:rPr>
      </w:pPr>
      <w:r>
        <w:rPr>
          <w:rFonts w:ascii="Times New Roman" w:cs="Times New Roman" w:eastAsia="SimSun" w:hAnsi="Times New Roman"/>
          <w:sz w:val="22"/>
          <w:szCs w:val="22"/>
        </w:rPr>
        <w:t xml:space="preserve"> </w:t>
      </w:r>
    </w:p>
    <w:p>
      <w:pPr>
        <w:pStyle w:val="style4099"/>
        <w:spacing w:after="0" w:lineRule="auto" w:line="360"/>
        <w:ind w:left="0"/>
        <w:jc w:val="both"/>
        <w:rPr>
          <w:rFonts w:ascii="Times New Roman" w:cs="Times New Roman" w:hAnsi="Times New Roman"/>
          <w:sz w:val="22"/>
          <w:szCs w:val="22"/>
        </w:rPr>
      </w:pPr>
      <w:r>
        <w:rPr>
          <w:rFonts w:ascii="Times New Roman" w:cs="Times New Roman" w:hAnsi="Times New Roman"/>
          <w:sz w:val="22"/>
          <w:szCs w:val="22"/>
        </w:rPr>
      </w:r>
      <w:r>
        <w:rPr>
          <w:rFonts w:ascii="Times New Roman" w:cs="Times New Roman" w:hAnsi="Times New Roman"/>
          <w:sz w:val="22"/>
          <w:szCs w:val="22"/>
        </w:rPr>
      </w:r>
      <w:r>
        <w:rPr>
          <w:rFonts w:ascii="Times New Roman" w:cs="Times New Roman" w:hAnsi="Times New Roman"/>
          <w:sz w:val="22"/>
          <w:szCs w:val="22"/>
        </w:rPr>
      </w:r>
      <w:r>
        <w:rPr>
          <w:rFonts w:ascii="Times New Roman" w:cs="Times New Roman" w:hAnsi="Times New Roman"/>
          <w:sz w:val="22"/>
          <w:szCs w:val="22"/>
        </w:rPr>
        <w:drawing>
          <wp:inline distL="114300" distT="0" distB="0" distR="114300">
            <wp:extent cx="1974850" cy="2089150"/>
            <wp:effectExtent l="0" t="0" r="0" b="0"/>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inline>
        </w:drawing>
      </w:r>
      <w:r>
        <w:rPr>
          <w:rFonts w:ascii="Times New Roman" w:cs="Times New Roman" w:hAnsi="Times New Roman"/>
          <w:sz w:val="22"/>
          <w:szCs w:val="22"/>
        </w:rPr>
      </w:r>
      <w:r>
        <w:rPr>
          <w:rFonts w:ascii="Times New Roman" w:cs="Times New Roman" w:hAnsi="Times New Roman"/>
          <w:sz w:val="22"/>
          <w:szCs w:val="22"/>
        </w:rPr>
        <w:t xml:space="preserve">   </w:t>
      </w:r>
      <w:r>
        <w:rPr>
          <w:rFonts w:ascii="Times New Roman" w:cs="Times New Roman" w:hAnsi="Times New Roman"/>
          <w:sz w:val="22"/>
          <w:szCs w:val="22"/>
        </w:rPr>
      </w:r>
      <w:r>
        <w:rPr>
          <w:rFonts w:ascii="Times New Roman" w:cs="Times New Roman" w:hAnsi="Times New Roman"/>
          <w:sz w:val="22"/>
          <w:szCs w:val="22"/>
        </w:rPr>
      </w:r>
      <w:r>
        <w:rPr>
          <w:rFonts w:ascii="Times New Roman" w:cs="Times New Roman" w:hAnsi="Times New Roman"/>
          <w:sz w:val="22"/>
          <w:szCs w:val="22"/>
        </w:rPr>
      </w:r>
      <w:r>
        <w:rPr>
          <w:rFonts w:ascii="Times New Roman" w:cs="Times New Roman" w:hAnsi="Times New Roman"/>
          <w:sz w:val="22"/>
          <w:szCs w:val="22"/>
        </w:rPr>
        <w:drawing>
          <wp:inline distL="114300" distT="0" distB="0" distR="114300">
            <wp:extent cx="2908300" cy="2114550"/>
            <wp:effectExtent l="0" t="0" r="0" b="0"/>
            <wp:docPr id="1029"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r>
        <w:rPr>
          <w:rFonts w:ascii="Times New Roman" w:cs="Times New Roman" w:hAnsi="Times New Roman"/>
          <w:sz w:val="22"/>
          <w:szCs w:val="22"/>
        </w:rPr>
      </w:r>
    </w:p>
    <w:p>
      <w:pPr>
        <w:pStyle w:val="style0"/>
        <w:spacing w:lineRule="auto" w:line="360"/>
        <w:rPr>
          <w:rFonts w:ascii="Times New Roman" w:cs="Times New Roman" w:eastAsia="Times New Roman" w:hAnsi="Times New Roman"/>
          <w:sz w:val="22"/>
          <w:szCs w:val="22"/>
        </w:rPr>
      </w:pPr>
    </w:p>
    <w:tbl>
      <w:tblPr>
        <w:tblStyle w:val="style154"/>
        <w:tblW w:w="865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70"/>
        <w:gridCol w:w="1416"/>
        <w:gridCol w:w="1549"/>
        <w:gridCol w:w="1416"/>
        <w:gridCol w:w="1585"/>
        <w:gridCol w:w="1622"/>
      </w:tblGrid>
      <w:tr>
        <w:trPr/>
        <w:tc>
          <w:tcPr>
            <w:tcW w:w="1070" w:type="dxa"/>
            <w:tcBorders/>
          </w:tcPr>
          <w:p>
            <w:pPr>
              <w:pStyle w:val="style0"/>
              <w:widowControl w:val="false"/>
              <w:spacing w:lineRule="auto" w:line="360"/>
              <w:jc w:val="both"/>
              <w:rPr>
                <w:rFonts w:ascii="Times New Roman" w:cs="Times New Roman" w:eastAsia="Times New Roman" w:hAnsi="Times New Roman"/>
                <w:b/>
                <w:sz w:val="22"/>
                <w:szCs w:val="22"/>
                <w:lang w:val="en-GB"/>
              </w:rPr>
            </w:pPr>
          </w:p>
        </w:tc>
        <w:tc>
          <w:tcPr>
            <w:tcW w:w="1416" w:type="dxa"/>
            <w:tcBorders/>
          </w:tcPr>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ALT</w:t>
            </w:r>
          </w:p>
          <w:p>
            <w:pPr>
              <w:pStyle w:val="style0"/>
              <w:widowControl w:val="false"/>
              <w:spacing w:lineRule="auto" w:line="360"/>
              <w:jc w:val="both"/>
              <w:rPr>
                <w:rFonts w:ascii="Times New Roman" w:cs="Times New Roman" w:hAnsi="Times New Roman"/>
                <w:sz w:val="22"/>
                <w:szCs w:val="22"/>
                <w:lang w:val="en-GB"/>
              </w:rPr>
            </w:pPr>
          </w:p>
        </w:tc>
        <w:tc>
          <w:tcPr>
            <w:tcW w:w="1549" w:type="dxa"/>
            <w:tcBorders/>
          </w:tcPr>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ALP</w:t>
            </w:r>
          </w:p>
          <w:p>
            <w:pPr>
              <w:pStyle w:val="style0"/>
              <w:widowControl w:val="false"/>
              <w:spacing w:lineRule="auto" w:line="360"/>
              <w:jc w:val="both"/>
              <w:rPr>
                <w:rFonts w:ascii="Times New Roman" w:cs="Times New Roman" w:eastAsia="Times New Roman" w:hAnsi="Times New Roman"/>
                <w:b/>
                <w:sz w:val="22"/>
                <w:szCs w:val="22"/>
                <w:lang w:val="en-GB"/>
              </w:rPr>
            </w:pPr>
          </w:p>
        </w:tc>
        <w:tc>
          <w:tcPr>
            <w:tcW w:w="1416" w:type="dxa"/>
            <w:tcBorders/>
          </w:tcPr>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AST</w:t>
            </w:r>
          </w:p>
          <w:p>
            <w:pPr>
              <w:pStyle w:val="style0"/>
              <w:widowControl w:val="false"/>
              <w:spacing w:lineRule="auto" w:line="360"/>
              <w:jc w:val="both"/>
              <w:rPr>
                <w:rFonts w:ascii="Times New Roman" w:cs="Times New Roman" w:eastAsia="Times New Roman" w:hAnsi="Times New Roman"/>
                <w:b/>
                <w:sz w:val="22"/>
                <w:szCs w:val="22"/>
                <w:lang w:val="en-GB"/>
              </w:rPr>
            </w:pPr>
          </w:p>
        </w:tc>
        <w:tc>
          <w:tcPr>
            <w:tcW w:w="1585" w:type="dxa"/>
            <w:tcBorders/>
          </w:tcPr>
          <w:p>
            <w:pPr>
              <w:pStyle w:val="style0"/>
              <w:widowControl w:val="false"/>
              <w:spacing w:lineRule="auto" w:line="360"/>
              <w:jc w:val="both"/>
              <w:rPr>
                <w:rFonts w:ascii="Times New Roman" w:cs="Times New Roman" w:eastAsia="Times New Roman" w:hAnsi="Times New Roman"/>
                <w:sz w:val="22"/>
                <w:szCs w:val="22"/>
                <w:lang w:val="en-GB"/>
              </w:rPr>
            </w:pPr>
            <w:r>
              <w:rPr>
                <w:rFonts w:ascii="Times New Roman" w:cs="Times New Roman" w:eastAsia="Times New Roman" w:hAnsi="Times New Roman"/>
                <w:sz w:val="22"/>
                <w:szCs w:val="22"/>
                <w:lang w:val="en-GB"/>
              </w:rPr>
              <w:t>Direct Bilirubin</w:t>
            </w:r>
          </w:p>
          <w:p>
            <w:pPr>
              <w:pStyle w:val="style0"/>
              <w:widowControl w:val="false"/>
              <w:spacing w:lineRule="auto" w:line="360"/>
              <w:jc w:val="both"/>
              <w:rPr>
                <w:rFonts w:ascii="Times New Roman" w:cs="Times New Roman" w:eastAsia="Times New Roman" w:hAnsi="Times New Roman"/>
                <w:b/>
                <w:sz w:val="22"/>
                <w:szCs w:val="22"/>
                <w:lang w:val="en-GB"/>
              </w:rPr>
            </w:pPr>
          </w:p>
        </w:tc>
        <w:tc>
          <w:tcPr>
            <w:tcW w:w="1622" w:type="dxa"/>
            <w:tcBorders/>
          </w:tcPr>
          <w:p>
            <w:pPr>
              <w:pStyle w:val="style0"/>
              <w:widowControl w:val="false"/>
              <w:spacing w:lineRule="auto" w:line="360"/>
              <w:jc w:val="both"/>
              <w:rPr>
                <w:rFonts w:ascii="Times New Roman" w:cs="Times New Roman" w:eastAsia="Times New Roman" w:hAnsi="Times New Roman"/>
                <w:b/>
                <w:sz w:val="22"/>
                <w:szCs w:val="22"/>
                <w:lang w:val="en-GB"/>
              </w:rPr>
            </w:pPr>
            <w:r>
              <w:rPr>
                <w:rFonts w:ascii="Times New Roman" w:cs="Times New Roman" w:eastAsia="Times New Roman" w:hAnsi="Times New Roman"/>
                <w:sz w:val="22"/>
                <w:szCs w:val="22"/>
                <w:lang w:val="en-GB"/>
              </w:rPr>
              <w:t>Total Bilirubin</w:t>
            </w:r>
          </w:p>
        </w:tc>
      </w:tr>
      <w:tr>
        <w:tblPrEx/>
        <w:trPr/>
        <w:tc>
          <w:tcPr>
            <w:tcW w:w="1070" w:type="dxa"/>
            <w:tcBorders/>
          </w:tcPr>
          <w:p>
            <w:pPr>
              <w:pStyle w:val="style0"/>
              <w:widowControl w:val="false"/>
              <w:spacing w:lineRule="auto" w:line="360"/>
              <w:jc w:val="both"/>
              <w:rPr>
                <w:rFonts w:ascii="Times New Roman" w:cs="Times New Roman" w:eastAsia="Times New Roman" w:hAnsi="Times New Roman"/>
                <w:b/>
                <w:sz w:val="22"/>
                <w:szCs w:val="22"/>
                <w:lang w:val="en-GB"/>
              </w:rPr>
            </w:pPr>
            <w:r>
              <w:rPr>
                <w:rFonts w:ascii="Times New Roman" w:cs="Times New Roman" w:eastAsia="Times New Roman" w:hAnsi="Times New Roman"/>
                <w:b/>
                <w:sz w:val="22"/>
                <w:szCs w:val="22"/>
                <w:lang w:val="en-GB"/>
              </w:rPr>
              <w:t xml:space="preserve">Test </w:t>
            </w:r>
          </w:p>
          <w:p>
            <w:pPr>
              <w:pStyle w:val="style0"/>
              <w:widowControl w:val="false"/>
              <w:spacing w:lineRule="auto" w:line="360"/>
              <w:jc w:val="both"/>
              <w:rPr>
                <w:rFonts w:ascii="Times New Roman" w:cs="Times New Roman" w:eastAsia="Times New Roman" w:hAnsi="Times New Roman"/>
                <w:b/>
                <w:sz w:val="22"/>
                <w:szCs w:val="22"/>
                <w:lang w:val="en-GB"/>
              </w:rPr>
            </w:pPr>
            <w:r>
              <w:rPr>
                <w:rFonts w:ascii="Times New Roman" w:cs="Times New Roman" w:eastAsia="Times New Roman" w:hAnsi="Times New Roman"/>
                <w:b/>
                <w:sz w:val="22"/>
                <w:szCs w:val="22"/>
                <w:lang w:val="en-GB"/>
              </w:rPr>
              <w:t xml:space="preserve">Control </w:t>
            </w:r>
          </w:p>
          <w:p>
            <w:pPr>
              <w:pStyle w:val="style0"/>
              <w:widowControl w:val="false"/>
              <w:spacing w:lineRule="auto" w:line="360"/>
              <w:jc w:val="both"/>
              <w:rPr>
                <w:rFonts w:ascii="Times New Roman" w:cs="Times New Roman" w:eastAsia="Times New Roman" w:hAnsi="Times New Roman"/>
                <w:b/>
                <w:sz w:val="22"/>
                <w:szCs w:val="22"/>
                <w:lang w:val="en-GB"/>
              </w:rPr>
            </w:pPr>
            <w:r>
              <w:rPr>
                <w:rFonts w:ascii="Times New Roman" w:cs="Times New Roman" w:eastAsia="Times New Roman" w:hAnsi="Times New Roman"/>
                <w:b/>
                <w:sz w:val="22"/>
                <w:szCs w:val="22"/>
                <w:lang w:val="en-GB"/>
              </w:rPr>
              <w:t xml:space="preserve">p-value </w:t>
            </w:r>
          </w:p>
        </w:tc>
        <w:tc>
          <w:tcPr>
            <w:tcW w:w="1416" w:type="dxa"/>
            <w:tcBorders/>
          </w:tcPr>
          <w:p>
            <w:pPr>
              <w:pStyle w:val="style0"/>
              <w:widowControl w:val="false"/>
              <w:spacing w:lineRule="auto" w:line="360"/>
              <w:jc w:val="center"/>
              <w:rPr>
                <w:rFonts w:ascii="Times New Roman" w:cs="Times New Roman" w:hAnsi="Times New Roman"/>
                <w:sz w:val="22"/>
                <w:szCs w:val="22"/>
                <w:lang w:val="en-GB"/>
              </w:rPr>
            </w:pPr>
            <w:r>
              <w:rPr>
                <w:rFonts w:ascii="Times New Roman" w:cs="Times New Roman" w:hAnsi="Times New Roman"/>
                <w:sz w:val="22"/>
                <w:szCs w:val="22"/>
                <w:lang w:val="en-GB"/>
              </w:rPr>
              <w:t>77.0±10.41</w:t>
            </w:r>
          </w:p>
          <w:p>
            <w:pPr>
              <w:pStyle w:val="style0"/>
              <w:widowControl w:val="false"/>
              <w:spacing w:lineRule="auto" w:line="360"/>
              <w:jc w:val="center"/>
              <w:rPr>
                <w:rFonts w:ascii="Times New Roman" w:cs="Times New Roman" w:hAnsi="Times New Roman"/>
                <w:sz w:val="22"/>
                <w:szCs w:val="22"/>
                <w:lang w:val="en-GB"/>
              </w:rPr>
            </w:pPr>
            <w:r>
              <w:rPr>
                <w:rFonts w:ascii="Times New Roman" w:cs="Times New Roman" w:hAnsi="Times New Roman"/>
                <w:sz w:val="22"/>
                <w:szCs w:val="22"/>
                <w:lang w:val="en-GB"/>
              </w:rPr>
              <w:t>67.34±7.69</w:t>
            </w:r>
          </w:p>
          <w:p>
            <w:pPr>
              <w:pStyle w:val="style0"/>
              <w:widowControl w:val="false"/>
              <w:spacing w:lineRule="auto" w:line="360"/>
              <w:jc w:val="center"/>
              <w:rPr>
                <w:rFonts w:ascii="Times New Roman" w:cs="Times New Roman" w:hAnsi="Times New Roman"/>
                <w:sz w:val="22"/>
                <w:szCs w:val="22"/>
                <w:lang w:val="en-GB"/>
              </w:rPr>
            </w:pPr>
            <w:r>
              <w:rPr>
                <w:rFonts w:ascii="Times New Roman" w:cs="Times New Roman" w:hAnsi="Times New Roman"/>
                <w:sz w:val="22"/>
                <w:szCs w:val="22"/>
                <w:lang w:val="en-GB"/>
              </w:rPr>
              <w:t>0.423</w:t>
            </w:r>
          </w:p>
        </w:tc>
        <w:tc>
          <w:tcPr>
            <w:tcW w:w="1549" w:type="dxa"/>
            <w:tcBorders/>
          </w:tcPr>
          <w:p>
            <w:pPr>
              <w:pStyle w:val="style0"/>
              <w:widowControl w:val="false"/>
              <w:spacing w:lineRule="auto" w:line="360"/>
              <w:jc w:val="center"/>
              <w:rPr>
                <w:rFonts w:ascii="Times New Roman" w:cs="Times New Roman" w:hAnsi="Times New Roman"/>
                <w:sz w:val="22"/>
                <w:szCs w:val="22"/>
                <w:lang w:val="en-GB"/>
              </w:rPr>
            </w:pPr>
            <w:r>
              <w:rPr>
                <w:rFonts w:ascii="Times New Roman" w:cs="Times New Roman" w:hAnsi="Times New Roman"/>
                <w:sz w:val="22"/>
                <w:szCs w:val="22"/>
                <w:lang w:val="en-GB"/>
              </w:rPr>
              <w:t>104.67±3.93</w:t>
            </w:r>
          </w:p>
          <w:p>
            <w:pPr>
              <w:pStyle w:val="style0"/>
              <w:widowControl w:val="false"/>
              <w:spacing w:lineRule="auto" w:line="360"/>
              <w:jc w:val="center"/>
              <w:rPr>
                <w:rFonts w:ascii="Times New Roman" w:cs="Times New Roman" w:hAnsi="Times New Roman"/>
                <w:sz w:val="22"/>
                <w:szCs w:val="22"/>
                <w:lang w:val="en-GB"/>
              </w:rPr>
            </w:pPr>
            <w:r>
              <w:rPr>
                <w:rFonts w:ascii="Times New Roman" w:cs="Times New Roman" w:hAnsi="Times New Roman"/>
                <w:sz w:val="22"/>
                <w:szCs w:val="22"/>
                <w:lang w:val="en-GB"/>
              </w:rPr>
              <w:t>90.0±1.92</w:t>
            </w:r>
          </w:p>
          <w:p>
            <w:pPr>
              <w:pStyle w:val="style0"/>
              <w:widowControl w:val="false"/>
              <w:spacing w:lineRule="auto" w:line="360"/>
              <w:jc w:val="center"/>
              <w:rPr>
                <w:rFonts w:ascii="Times New Roman" w:cs="Times New Roman" w:hAnsi="Times New Roman"/>
                <w:sz w:val="22"/>
                <w:szCs w:val="22"/>
                <w:lang w:val="en-GB"/>
              </w:rPr>
            </w:pPr>
            <w:r>
              <w:rPr>
                <w:rFonts w:ascii="Times New Roman" w:cs="Times New Roman" w:hAnsi="Times New Roman"/>
                <w:sz w:val="22"/>
                <w:szCs w:val="22"/>
                <w:lang w:val="en-GB"/>
              </w:rPr>
              <w:t>0.321</w:t>
            </w:r>
          </w:p>
        </w:tc>
        <w:tc>
          <w:tcPr>
            <w:tcW w:w="1416" w:type="dxa"/>
            <w:tcBorders/>
          </w:tcPr>
          <w:p>
            <w:pPr>
              <w:pStyle w:val="style0"/>
              <w:widowControl w:val="false"/>
              <w:spacing w:lineRule="auto" w:line="360"/>
              <w:jc w:val="center"/>
              <w:rPr>
                <w:rFonts w:ascii="Times New Roman" w:cs="Times New Roman" w:hAnsi="Times New Roman"/>
                <w:sz w:val="22"/>
                <w:szCs w:val="22"/>
                <w:lang w:val="en-GB"/>
              </w:rPr>
            </w:pPr>
            <w:r>
              <w:rPr>
                <w:rFonts w:ascii="Times New Roman" w:cs="Times New Roman" w:hAnsi="Times New Roman"/>
                <w:sz w:val="22"/>
                <w:szCs w:val="22"/>
                <w:lang w:val="en-GB"/>
              </w:rPr>
              <w:t>43.17±7.80</w:t>
            </w:r>
          </w:p>
          <w:p>
            <w:pPr>
              <w:pStyle w:val="style0"/>
              <w:widowControl w:val="false"/>
              <w:spacing w:lineRule="auto" w:line="360"/>
              <w:jc w:val="center"/>
              <w:rPr>
                <w:rFonts w:ascii="Times New Roman" w:cs="Times New Roman" w:hAnsi="Times New Roman"/>
                <w:sz w:val="22"/>
                <w:szCs w:val="22"/>
                <w:lang w:val="en-GB"/>
              </w:rPr>
            </w:pPr>
            <w:r>
              <w:rPr>
                <w:rFonts w:ascii="Times New Roman" w:cs="Times New Roman" w:hAnsi="Times New Roman"/>
                <w:sz w:val="22"/>
                <w:szCs w:val="22"/>
                <w:lang w:val="en-GB"/>
              </w:rPr>
              <w:t>37.20±4.23</w:t>
            </w:r>
          </w:p>
          <w:p>
            <w:pPr>
              <w:pStyle w:val="style0"/>
              <w:widowControl w:val="false"/>
              <w:spacing w:lineRule="auto" w:line="360"/>
              <w:jc w:val="center"/>
              <w:rPr>
                <w:rFonts w:ascii="Times New Roman" w:cs="Times New Roman" w:hAnsi="Times New Roman"/>
                <w:sz w:val="22"/>
                <w:szCs w:val="22"/>
                <w:lang w:val="en-GB"/>
              </w:rPr>
            </w:pPr>
            <w:r>
              <w:rPr>
                <w:rFonts w:ascii="Times New Roman" w:cs="Times New Roman" w:hAnsi="Times New Roman"/>
                <w:sz w:val="22"/>
                <w:szCs w:val="22"/>
                <w:lang w:val="en-GB"/>
              </w:rPr>
              <w:t>0.221</w:t>
            </w:r>
          </w:p>
        </w:tc>
        <w:tc>
          <w:tcPr>
            <w:tcW w:w="1585" w:type="dxa"/>
            <w:tcBorders/>
          </w:tcPr>
          <w:p>
            <w:pPr>
              <w:pStyle w:val="style0"/>
              <w:widowControl w:val="false"/>
              <w:spacing w:lineRule="auto" w:line="360"/>
              <w:jc w:val="center"/>
              <w:rPr>
                <w:rFonts w:ascii="Times New Roman" w:cs="Times New Roman" w:hAnsi="Times New Roman"/>
                <w:sz w:val="22"/>
                <w:szCs w:val="22"/>
                <w:lang w:val="en-GB"/>
              </w:rPr>
            </w:pPr>
            <w:r>
              <w:rPr>
                <w:rFonts w:ascii="Times New Roman" w:cs="Times New Roman" w:hAnsi="Times New Roman"/>
                <w:sz w:val="22"/>
                <w:szCs w:val="22"/>
                <w:lang w:val="en-GB"/>
              </w:rPr>
              <w:t>8.49±0.06</w:t>
            </w:r>
          </w:p>
          <w:p>
            <w:pPr>
              <w:pStyle w:val="style0"/>
              <w:widowControl w:val="false"/>
              <w:spacing w:lineRule="auto" w:line="360"/>
              <w:jc w:val="center"/>
              <w:rPr>
                <w:rFonts w:ascii="Times New Roman" w:cs="Times New Roman" w:hAnsi="Times New Roman"/>
                <w:sz w:val="22"/>
                <w:szCs w:val="22"/>
                <w:lang w:val="en-GB"/>
              </w:rPr>
            </w:pPr>
            <w:r>
              <w:rPr>
                <w:rFonts w:ascii="Times New Roman" w:cs="Times New Roman" w:hAnsi="Times New Roman"/>
                <w:sz w:val="22"/>
                <w:szCs w:val="22"/>
                <w:lang w:val="en-GB"/>
              </w:rPr>
              <w:t>7.01±0.01</w:t>
            </w:r>
          </w:p>
          <w:p>
            <w:pPr>
              <w:pStyle w:val="style0"/>
              <w:widowControl w:val="false"/>
              <w:spacing w:lineRule="auto" w:line="360"/>
              <w:jc w:val="center"/>
              <w:rPr>
                <w:rFonts w:ascii="Times New Roman" w:cs="Times New Roman" w:hAnsi="Times New Roman"/>
                <w:sz w:val="22"/>
                <w:szCs w:val="22"/>
                <w:lang w:val="en-GB"/>
              </w:rPr>
            </w:pPr>
            <w:r>
              <w:rPr>
                <w:rFonts w:ascii="Times New Roman" w:cs="Times New Roman" w:hAnsi="Times New Roman"/>
                <w:sz w:val="22"/>
                <w:szCs w:val="22"/>
                <w:lang w:val="en-GB"/>
              </w:rPr>
              <w:t>0.103</w:t>
            </w:r>
          </w:p>
        </w:tc>
        <w:tc>
          <w:tcPr>
            <w:tcW w:w="1622" w:type="dxa"/>
            <w:tcBorders/>
          </w:tcPr>
          <w:p>
            <w:pPr>
              <w:pStyle w:val="style0"/>
              <w:widowControl w:val="false"/>
              <w:spacing w:lineRule="auto" w:line="360"/>
              <w:jc w:val="center"/>
              <w:rPr>
                <w:rFonts w:ascii="Times New Roman" w:cs="Times New Roman" w:hAnsi="Times New Roman"/>
                <w:sz w:val="22"/>
                <w:szCs w:val="22"/>
                <w:lang w:val="en-GB"/>
              </w:rPr>
            </w:pPr>
            <w:r>
              <w:rPr>
                <w:rFonts w:ascii="Times New Roman" w:cs="Times New Roman" w:hAnsi="Times New Roman"/>
                <w:sz w:val="22"/>
                <w:szCs w:val="22"/>
                <w:lang w:val="en-GB"/>
              </w:rPr>
              <w:t>7.24±0.85</w:t>
            </w:r>
          </w:p>
          <w:p>
            <w:pPr>
              <w:pStyle w:val="style0"/>
              <w:widowControl w:val="false"/>
              <w:spacing w:lineRule="auto" w:line="360"/>
              <w:jc w:val="center"/>
              <w:rPr>
                <w:rFonts w:ascii="Times New Roman" w:cs="Times New Roman" w:hAnsi="Times New Roman"/>
                <w:sz w:val="22"/>
                <w:szCs w:val="22"/>
                <w:lang w:val="en-GB"/>
              </w:rPr>
            </w:pPr>
            <w:r>
              <w:rPr>
                <w:rFonts w:ascii="Times New Roman" w:cs="Times New Roman" w:hAnsi="Times New Roman"/>
                <w:sz w:val="22"/>
                <w:szCs w:val="22"/>
                <w:lang w:val="en-GB"/>
              </w:rPr>
              <w:t>5.20±0.41</w:t>
            </w:r>
          </w:p>
          <w:p>
            <w:pPr>
              <w:pStyle w:val="style0"/>
              <w:widowControl w:val="false"/>
              <w:spacing w:lineRule="auto" w:line="360"/>
              <w:jc w:val="center"/>
              <w:rPr>
                <w:rFonts w:ascii="Times New Roman" w:cs="Times New Roman" w:hAnsi="Times New Roman"/>
                <w:sz w:val="22"/>
                <w:szCs w:val="22"/>
                <w:lang w:val="en-GB"/>
              </w:rPr>
            </w:pPr>
            <w:r>
              <w:rPr>
                <w:rFonts w:ascii="Times New Roman" w:cs="Times New Roman" w:hAnsi="Times New Roman"/>
                <w:sz w:val="22"/>
                <w:szCs w:val="22"/>
                <w:lang w:val="en-GB"/>
              </w:rPr>
              <w:t>0.093</w:t>
            </w:r>
          </w:p>
        </w:tc>
      </w:tr>
    </w:tbl>
    <w:p>
      <w:pPr>
        <w:pStyle w:val="style0"/>
        <w:spacing w:lineRule="auto" w:line="360"/>
        <w:jc w:val="both"/>
        <w:rPr>
          <w:rFonts w:ascii="Times New Roman" w:cs="Times New Roman" w:eastAsia="Times New Roman" w:hAnsi="Times New Roman"/>
          <w:sz w:val="22"/>
          <w:szCs w:val="22"/>
        </w:rPr>
      </w:pPr>
    </w:p>
    <w:p>
      <w:pPr>
        <w:pStyle w:val="style0"/>
        <w:spacing w:lineRule="auto" w:line="360"/>
        <w:jc w:val="both"/>
        <w:rPr>
          <w:rFonts w:ascii="Times New Roman" w:cs="Times New Roman" w:eastAsia="Times New Roman" w:hAnsi="Times New Roman"/>
          <w:sz w:val="22"/>
          <w:szCs w:val="22"/>
        </w:rPr>
      </w:pPr>
      <w:r>
        <w:rPr>
          <w:rFonts w:ascii="Times New Roman" w:cs="Times New Roman" w:eastAsia="Times New Roman" w:hAnsi="Times New Roman"/>
          <w:sz w:val="22"/>
          <w:szCs w:val="22"/>
        </w:rPr>
        <w:t>Only 2.7% of the pregnant women tested positive for hepatitis B virus. The remaining were negative. From the result, the ALT, ALP, AST, direct bilirubin and total bilirubin level (</w:t>
      </w:r>
      <w:r>
        <w:rPr>
          <w:rFonts w:ascii="Times New Roman" w:cs="Times New Roman" w:hAnsi="Times New Roman"/>
          <w:sz w:val="22"/>
          <w:szCs w:val="22"/>
        </w:rPr>
        <w:t xml:space="preserve">77.0±10.41, 104.67±3.93, 43.17±7.80, 8.49±0.06 and 7.24±0.85 respectively) </w:t>
      </w:r>
      <w:r>
        <w:rPr>
          <w:rFonts w:ascii="Times New Roman" w:cs="Times New Roman" w:eastAsia="Times New Roman" w:hAnsi="Times New Roman"/>
          <w:sz w:val="22"/>
          <w:szCs w:val="22"/>
        </w:rPr>
        <w:t>of the positive participants were higher compared to the negative participants (</w:t>
      </w:r>
      <w:r>
        <w:rPr>
          <w:rFonts w:ascii="Times New Roman" w:cs="Times New Roman" w:hAnsi="Times New Roman"/>
          <w:sz w:val="22"/>
          <w:szCs w:val="22"/>
        </w:rPr>
        <w:t>67.34±7.69, 90.0±1.92, 37.20±4.23, 7.01±0.01 and 5.20±0.41 respectively</w:t>
      </w:r>
      <w:r>
        <w:rPr>
          <w:rFonts w:ascii="Times New Roman" w:cs="Times New Roman" w:eastAsia="Times New Roman" w:hAnsi="Times New Roman"/>
          <w:sz w:val="22"/>
          <w:szCs w:val="22"/>
        </w:rPr>
        <w:t>. They were statistically not significant. The result was presented as Mean</w:t>
      </w:r>
      <w:r>
        <w:rPr>
          <w:rFonts w:ascii="Times New Roman" w:cs="Times New Roman" w:hAnsi="Times New Roman"/>
          <w:sz w:val="22"/>
          <w:szCs w:val="22"/>
        </w:rPr>
        <w:t>±</w:t>
      </w:r>
      <w:r>
        <w:rPr>
          <w:rFonts w:ascii="Times New Roman" w:cs="Times New Roman" w:eastAsia="Times New Roman" w:hAnsi="Times New Roman"/>
          <w:sz w:val="22"/>
          <w:szCs w:val="22"/>
        </w:rPr>
        <w:t>std error of mean (SEM).</w:t>
      </w:r>
    </w:p>
    <w:p>
      <w:pPr>
        <w:pStyle w:val="style2"/>
        <w:keepNext w:val="false"/>
        <w:keepLines w:val="false"/>
        <w:shd w:val="clear" w:color="auto" w:fill="ffffff"/>
        <w:spacing w:before="90" w:after="120" w:lineRule="auto" w:line="360"/>
        <w:jc w:val="center"/>
        <w:rPr>
          <w:rFonts w:ascii="Times New Roman" w:cs="Times New Roman" w:eastAsia="Tahoma" w:hAnsi="Times New Roman"/>
          <w:color w:val="262626"/>
          <w:sz w:val="22"/>
          <w:szCs w:val="22"/>
          <w:shd w:val="clear" w:color="auto" w:fill="ffffff"/>
        </w:rPr>
        <w:sectPr>
          <w:type w:val="continuous"/>
          <w:pgSz w:w="12240" w:h="15840" w:orient="portrait"/>
          <w:pgMar w:top="1440" w:right="1440" w:bottom="1440" w:left="1440" w:header="720" w:footer="720" w:gutter="0"/>
          <w:cols w:space="720" w:num="1"/>
          <w:docGrid w:linePitch="360" w:charSpace="0"/>
        </w:sectPr>
      </w:pPr>
    </w:p>
    <w:p>
      <w:pPr>
        <w:pStyle w:val="style2"/>
        <w:keepNext w:val="false"/>
        <w:keepLines w:val="false"/>
        <w:shd w:val="clear" w:color="auto" w:fill="ffffff"/>
        <w:spacing w:before="90" w:after="120" w:lineRule="auto" w:line="360"/>
        <w:jc w:val="center"/>
        <w:rPr>
          <w:rFonts w:ascii="Times New Roman" w:cs="Times New Roman" w:eastAsia="Tahoma" w:hAnsi="Times New Roman"/>
          <w:color w:val="262626"/>
          <w:sz w:val="22"/>
          <w:szCs w:val="22"/>
        </w:rPr>
      </w:pPr>
      <w:r>
        <w:rPr>
          <w:rFonts w:ascii="Times New Roman" w:cs="Times New Roman" w:eastAsia="Tahoma" w:hAnsi="Times New Roman"/>
          <w:color w:val="262626"/>
          <w:sz w:val="22"/>
          <w:szCs w:val="22"/>
          <w:shd w:val="clear" w:color="auto" w:fill="ffffff"/>
        </w:rPr>
        <w:t>DISCUSSION AND CONCLUSION</w:t>
      </w:r>
    </w:p>
    <w:p>
      <w:pPr>
        <w:pStyle w:val="style94"/>
        <w:shd w:val="clear" w:color="auto" w:fill="ffffff"/>
        <w:spacing w:beforeAutospacing="false" w:after="100" w:lineRule="auto" w:line="360"/>
        <w:rPr>
          <w:rFonts w:eastAsia="Tahoma"/>
          <w:b/>
          <w:color w:val="262626"/>
          <w:sz w:val="22"/>
          <w:szCs w:val="22"/>
          <w:shd w:val="clear" w:color="auto" w:fill="ffffff"/>
        </w:rPr>
      </w:pPr>
      <w:r>
        <w:rPr>
          <w:rFonts w:eastAsia="Tahoma"/>
          <w:b/>
          <w:color w:val="262626"/>
          <w:sz w:val="22"/>
          <w:szCs w:val="22"/>
          <w:shd w:val="clear" w:color="auto" w:fill="ffffff"/>
        </w:rPr>
        <w:t>Prevalence</w:t>
      </w:r>
    </w:p>
    <w:p>
      <w:pPr>
        <w:pStyle w:val="style94"/>
        <w:shd w:val="clear" w:color="auto" w:fill="ffffff"/>
        <w:spacing w:beforeAutospacing="false" w:after="100" w:lineRule="auto" w:line="360"/>
        <w:rPr>
          <w:rFonts w:eastAsia="Tahoma"/>
          <w:color w:val="262626"/>
          <w:sz w:val="22"/>
          <w:szCs w:val="22"/>
        </w:rPr>
      </w:pPr>
      <w:r>
        <w:rPr>
          <w:rFonts w:eastAsia="Tahoma"/>
          <w:color w:val="262626"/>
          <w:sz w:val="22"/>
          <w:szCs w:val="22"/>
          <w:shd w:val="clear" w:color="auto" w:fill="ffffff"/>
        </w:rPr>
        <w:t>The findings of this study provide valuable insights into the hepatitis B virus (HBV) profile among pregnant women attending the Enugu State University of Technology Teaching Hospital Parklane. The low prevalence of HBV infection, with only 2.7% of participants testing positive, is noteworthy given the high rates reported in other studies across Nigeria and sub-Saharan Africa. For instance, a meta-analysis indicated a pooled prevalence of HBV infection among pregnant women in Nigeria to be around 6.49% [22], suggesting that the population in this study may benefit from effective screening and vaccination programs.</w:t>
      </w:r>
    </w:p>
    <w:p>
      <w:pPr>
        <w:pStyle w:val="style3"/>
        <w:keepNext w:val="false"/>
        <w:keepLines w:val="false"/>
        <w:shd w:val="clear" w:color="auto" w:fill="ffffff"/>
        <w:spacing w:after="120" w:lineRule="auto" w:line="360"/>
        <w:rPr>
          <w:rFonts w:ascii="Times New Roman" w:cs="Times New Roman" w:eastAsia="Tahoma" w:hAnsi="Times New Roman"/>
          <w:color w:val="262626"/>
          <w:sz w:val="22"/>
          <w:szCs w:val="22"/>
        </w:rPr>
      </w:pPr>
      <w:r>
        <w:rPr>
          <w:rFonts w:ascii="Times New Roman" w:cs="Times New Roman" w:eastAsia="Tahoma" w:hAnsi="Times New Roman"/>
          <w:color w:val="262626"/>
          <w:sz w:val="22"/>
          <w:szCs w:val="22"/>
          <w:shd w:val="clear" w:color="auto" w:fill="ffffff"/>
        </w:rPr>
        <w:t>Epidemiological Context</w:t>
      </w:r>
    </w:p>
    <w:p>
      <w:pPr>
        <w:pStyle w:val="style94"/>
        <w:shd w:val="clear" w:color="auto" w:fill="ffffff"/>
        <w:spacing w:beforeAutospacing="false" w:after="100" w:lineRule="auto" w:line="360"/>
        <w:rPr>
          <w:rFonts w:eastAsia="Tahoma"/>
          <w:color w:val="262626"/>
          <w:sz w:val="22"/>
          <w:szCs w:val="22"/>
        </w:rPr>
      </w:pPr>
      <w:r>
        <w:rPr>
          <w:rFonts w:eastAsia="Tahoma"/>
          <w:color w:val="262626"/>
          <w:sz w:val="22"/>
          <w:szCs w:val="22"/>
          <w:shd w:val="clear" w:color="auto" w:fill="ffffff"/>
        </w:rPr>
        <w:t>The global burden of HBV is substantial, with approximately 240 million individuals living with chronic infection [21]. In regions like sub-Saharan Africa, including Nigeria, the prevalence can reach as high as 12.2% [23], underscoring the importance of targeted public health interventions. The lower prevalence observed in this study could be attributed to several factors, including increased awareness and access to vaccination, which has been shown to significantly reduce the incidence of HBV [15]. The introduction of the hepatitis B vaccine into Nigeria's National Program on Immunization in 2004 may have contributed to this decline in prevalence among pregnant women.</w:t>
      </w:r>
    </w:p>
    <w:p>
      <w:pPr>
        <w:pStyle w:val="style3"/>
        <w:keepNext w:val="false"/>
        <w:keepLines w:val="false"/>
        <w:shd w:val="clear" w:color="auto" w:fill="ffffff"/>
        <w:spacing w:after="120" w:lineRule="auto" w:line="360"/>
        <w:rPr>
          <w:rFonts w:ascii="Times New Roman" w:cs="Times New Roman" w:eastAsia="Tahoma" w:hAnsi="Times New Roman"/>
          <w:color w:val="262626"/>
          <w:sz w:val="22"/>
          <w:szCs w:val="22"/>
        </w:rPr>
      </w:pPr>
      <w:r>
        <w:rPr>
          <w:rFonts w:ascii="Times New Roman" w:cs="Times New Roman" w:eastAsia="Tahoma" w:hAnsi="Times New Roman"/>
          <w:color w:val="262626"/>
          <w:sz w:val="22"/>
          <w:szCs w:val="22"/>
          <w:shd w:val="clear" w:color="auto" w:fill="ffffff"/>
        </w:rPr>
        <w:t xml:space="preserve"> Knowledge, Attitudes, and Practices</w:t>
      </w:r>
    </w:p>
    <w:p>
      <w:pPr>
        <w:pStyle w:val="style94"/>
        <w:shd w:val="clear" w:color="auto" w:fill="ffffff"/>
        <w:spacing w:beforeAutospacing="false" w:lineRule="auto" w:line="360"/>
        <w:rPr>
          <w:rFonts w:eastAsia="Tahoma"/>
          <w:color w:val="262626"/>
          <w:sz w:val="22"/>
          <w:szCs w:val="22"/>
        </w:rPr>
      </w:pPr>
      <w:r>
        <w:rPr>
          <w:rFonts w:eastAsia="Tahoma"/>
          <w:color w:val="262626"/>
          <w:sz w:val="22"/>
          <w:szCs w:val="22"/>
          <w:shd w:val="clear" w:color="auto" w:fill="ffffff"/>
        </w:rPr>
        <w:t>The study revealed that the participants had very good knowledge of hepatitis B, as indicated by a mean knowledge score of 3.39. This finding aligns with previous studies that reported high levels of awareness among pregnant women regarding HBV transmission and prevention methods [24]. However, despite this knowledge, there remains a gap in practices related to testing and vaccination. Only 2.7% of women reported having been tested for HBV, which highlights a critical area for improvement.</w:t>
      </w:r>
    </w:p>
    <w:p>
      <w:pPr>
        <w:pStyle w:val="style94"/>
        <w:shd w:val="clear" w:color="auto" w:fill="ffffff"/>
        <w:spacing w:beforeAutospacing="false" w:after="100" w:lineRule="auto" w:line="360"/>
        <w:rPr>
          <w:rFonts w:eastAsia="Tahoma"/>
          <w:color w:val="262626"/>
          <w:sz w:val="22"/>
          <w:szCs w:val="22"/>
        </w:rPr>
      </w:pPr>
      <w:r>
        <w:rPr>
          <w:rFonts w:eastAsia="Tahoma"/>
          <w:color w:val="262626"/>
          <w:sz w:val="22"/>
          <w:szCs w:val="22"/>
          <w:shd w:val="clear" w:color="auto" w:fill="ffffff"/>
        </w:rPr>
        <w:t>This discrepancy between knowledge and practice is not uncommon in public health. Research has shown that while individuals may understand the risks associated with HBV, barriers such as stigma, fear of discrimination, and lack of access to healthcare can hinder their willingness to seek testing and vaccination [25]. The stigma associated with HBV infection, particularly among pregnant women, can lead to anxiety and reluctance to disclose their status, ultimately impacting their health outcomes [26].</w:t>
      </w:r>
    </w:p>
    <w:p>
      <w:pPr>
        <w:pStyle w:val="style3"/>
        <w:keepNext w:val="false"/>
        <w:keepLines w:val="false"/>
        <w:shd w:val="clear" w:color="auto" w:fill="ffffff"/>
        <w:spacing w:after="120" w:lineRule="auto" w:line="360"/>
        <w:rPr>
          <w:rFonts w:ascii="Times New Roman" w:cs="Times New Roman" w:eastAsia="Tahoma" w:hAnsi="Times New Roman"/>
          <w:color w:val="262626"/>
          <w:sz w:val="22"/>
          <w:szCs w:val="22"/>
        </w:rPr>
      </w:pPr>
      <w:r>
        <w:rPr>
          <w:rFonts w:ascii="Times New Roman" w:cs="Times New Roman" w:eastAsia="Tahoma" w:hAnsi="Times New Roman"/>
          <w:color w:val="262626"/>
          <w:sz w:val="22"/>
          <w:szCs w:val="22"/>
          <w:shd w:val="clear" w:color="auto" w:fill="ffffff"/>
        </w:rPr>
        <w:t xml:space="preserve"> Risk Factors and Socioeconomic Influences</w:t>
      </w:r>
    </w:p>
    <w:p>
      <w:pPr>
        <w:pStyle w:val="style94"/>
        <w:shd w:val="clear" w:color="auto" w:fill="ffffff"/>
        <w:spacing w:beforeAutospacing="false" w:lineRule="auto" w:line="360"/>
        <w:rPr>
          <w:rFonts w:eastAsia="Tahoma"/>
          <w:color w:val="262626"/>
          <w:sz w:val="22"/>
          <w:szCs w:val="22"/>
        </w:rPr>
      </w:pPr>
      <w:r>
        <w:rPr>
          <w:rFonts w:eastAsia="Tahoma"/>
          <w:color w:val="262626"/>
          <w:sz w:val="22"/>
          <w:szCs w:val="22"/>
          <w:shd w:val="clear" w:color="auto" w:fill="ffffff"/>
        </w:rPr>
        <w:t>The study also aimed to identify risk factors associated with HBV infection among pregnant women. While the overall prevalence was low, understanding the socio-economic determinants that contribute to HBV transmission is essential. Factors such as limited access to healthcare services, inadequate health education, and socio-economic challenges were highlighted as barriers to effective screening and vaccination [27]. Pregnant women in Enugu State may face various obstacles, including financial constraints and cultural beliefs that discourage seeking medical care.</w:t>
      </w:r>
    </w:p>
    <w:p>
      <w:pPr>
        <w:pStyle w:val="style94"/>
        <w:shd w:val="clear" w:color="auto" w:fill="ffffff"/>
        <w:spacing w:beforeAutospacing="false" w:after="100" w:lineRule="auto" w:line="360"/>
        <w:rPr>
          <w:rFonts w:eastAsia="Tahoma"/>
          <w:color w:val="262626"/>
          <w:sz w:val="22"/>
          <w:szCs w:val="22"/>
        </w:rPr>
      </w:pPr>
      <w:r>
        <w:rPr>
          <w:rFonts w:eastAsia="Tahoma"/>
          <w:color w:val="262626"/>
          <w:sz w:val="22"/>
          <w:szCs w:val="22"/>
          <w:shd w:val="clear" w:color="auto" w:fill="ffffff"/>
        </w:rPr>
        <w:t>Additionally, the study found that most participants were married and had a relatively high level of education, with 42.4% holding a university degree. This demographic profile suggests that educational interventions may be effective in promoting awareness and encouraging preventive behaviours. However, it is crucial to address the knowledge gaps that still exist, particularly regarding the importance of testing and vaccination during pregnancy, with 28.2% having no knowledge of the availability of vaccination and 18% believing that there is no way of preventing MTCT of hepatitis B virus..</w:t>
      </w:r>
    </w:p>
    <w:p>
      <w:pPr>
        <w:pStyle w:val="style3"/>
        <w:keepNext w:val="false"/>
        <w:keepLines w:val="false"/>
        <w:shd w:val="clear" w:color="auto" w:fill="ffffff"/>
        <w:spacing w:after="120" w:lineRule="auto" w:line="360"/>
        <w:rPr>
          <w:rFonts w:ascii="Times New Roman" w:cs="Times New Roman" w:eastAsia="Tahoma" w:hAnsi="Times New Roman"/>
          <w:color w:val="262626"/>
          <w:sz w:val="22"/>
          <w:szCs w:val="22"/>
        </w:rPr>
      </w:pPr>
      <w:r>
        <w:rPr>
          <w:rFonts w:ascii="Times New Roman" w:cs="Times New Roman" w:eastAsia="Tahoma" w:hAnsi="Times New Roman"/>
          <w:color w:val="262626"/>
          <w:sz w:val="22"/>
          <w:szCs w:val="22"/>
          <w:shd w:val="clear" w:color="auto" w:fill="ffffff"/>
        </w:rPr>
        <w:t>5.5 Implications for Public Health</w:t>
      </w:r>
    </w:p>
    <w:p>
      <w:pPr>
        <w:pStyle w:val="style94"/>
        <w:shd w:val="clear" w:color="auto" w:fill="ffffff"/>
        <w:spacing w:beforeAutospacing="false" w:lineRule="auto" w:line="360"/>
        <w:rPr>
          <w:rFonts w:eastAsia="Tahoma"/>
          <w:color w:val="262626"/>
          <w:sz w:val="22"/>
          <w:szCs w:val="22"/>
        </w:rPr>
      </w:pPr>
      <w:r>
        <w:rPr>
          <w:rFonts w:eastAsia="Tahoma"/>
          <w:color w:val="262626"/>
          <w:sz w:val="22"/>
          <w:szCs w:val="22"/>
          <w:shd w:val="clear" w:color="auto" w:fill="ffffff"/>
        </w:rPr>
        <w:t>The findings of this study underscore the need for enhanced public health initiatives aimed at increasing the screening rates for HBV among pregnant women in Enugu State. The World Health Organization recommends universal screening for HBV during pregnancy to identify infected women and implement appropriate management strategies [12]. Given the low testing rates or health-seeking behaviour observed in this study, there is an urgent need for healthcare providers to prioritize HBV screening in antenatal care settings.</w:t>
      </w:r>
    </w:p>
    <w:p>
      <w:pPr>
        <w:pStyle w:val="style94"/>
        <w:shd w:val="clear" w:color="auto" w:fill="ffffff"/>
        <w:spacing w:beforeAutospacing="false" w:after="100" w:lineRule="auto" w:line="360"/>
        <w:rPr>
          <w:rFonts w:eastAsia="Tahoma"/>
          <w:color w:val="262626"/>
          <w:sz w:val="22"/>
          <w:szCs w:val="22"/>
        </w:rPr>
      </w:pPr>
      <w:r>
        <w:rPr>
          <w:rFonts w:eastAsia="Tahoma"/>
          <w:color w:val="262626"/>
          <w:sz w:val="22"/>
          <w:szCs w:val="22"/>
          <w:shd w:val="clear" w:color="auto" w:fill="ffffff"/>
        </w:rPr>
        <w:t>Moreover, educational campaigns should focus on dispelling myths and reducing the stigma associated with HBV. Tailored health education programs that address the specific concerns of pregnant women can improve knowledge and encourage proactive health-seeking behaviours [28]. Such initiatives should also involve community engagement to foster a supportive environment for women to seek testing and treatment without fear of discrimination.</w:t>
      </w:r>
    </w:p>
    <w:p>
      <w:pPr>
        <w:pStyle w:val="style3"/>
        <w:keepNext w:val="false"/>
        <w:keepLines w:val="false"/>
        <w:shd w:val="clear" w:color="auto" w:fill="ffffff"/>
        <w:spacing w:after="120" w:lineRule="auto" w:line="360"/>
        <w:rPr>
          <w:rFonts w:ascii="Times New Roman" w:cs="Times New Roman" w:eastAsia="Tahoma" w:hAnsi="Times New Roman"/>
          <w:color w:val="262626"/>
          <w:sz w:val="22"/>
          <w:szCs w:val="22"/>
        </w:rPr>
      </w:pPr>
      <w:r>
        <w:rPr>
          <w:rFonts w:ascii="Times New Roman" w:cs="Times New Roman" w:eastAsia="Tahoma" w:hAnsi="Times New Roman"/>
          <w:color w:val="262626"/>
          <w:sz w:val="22"/>
          <w:szCs w:val="22"/>
          <w:shd w:val="clear" w:color="auto" w:fill="ffffff"/>
        </w:rPr>
        <w:t>5.6 Conclusion</w:t>
      </w:r>
    </w:p>
    <w:p>
      <w:pPr>
        <w:pStyle w:val="style94"/>
        <w:shd w:val="clear" w:color="auto" w:fill="ffffff"/>
        <w:spacing w:beforeAutospacing="false" w:lineRule="auto" w:line="360"/>
        <w:rPr>
          <w:rFonts w:eastAsia="Tahoma"/>
          <w:color w:val="262626"/>
          <w:sz w:val="22"/>
          <w:szCs w:val="22"/>
        </w:rPr>
      </w:pPr>
      <w:r>
        <w:rPr>
          <w:rFonts w:eastAsia="Tahoma"/>
          <w:color w:val="262626"/>
          <w:sz w:val="22"/>
          <w:szCs w:val="22"/>
          <w:shd w:val="clear" w:color="auto" w:fill="ffffff"/>
        </w:rPr>
        <w:t>In conclusion, this study provides critical insights into the HBV profile among pregnant women in Enugu State University of Technology Teaching Hospital Parklane. The low prevalence of HBV infection is encouraging but highlights the need for continued vigilance in screening and vaccination efforts. Despite good knowledge levels, the low rates of testing and vaccination practices indicate significant gaps that must be addressed through targeted public health interventions.</w:t>
      </w:r>
    </w:p>
    <w:p>
      <w:pPr>
        <w:pStyle w:val="style94"/>
        <w:shd w:val="clear" w:color="auto" w:fill="ffffff"/>
        <w:spacing w:beforeAutospacing="false" w:after="100" w:lineRule="auto" w:line="360"/>
        <w:rPr>
          <w:rFonts w:eastAsia="Tahoma"/>
          <w:color w:val="262626"/>
          <w:sz w:val="22"/>
          <w:szCs w:val="22"/>
        </w:rPr>
      </w:pPr>
      <w:r>
        <w:rPr>
          <w:rFonts w:eastAsia="Tahoma"/>
          <w:color w:val="262626"/>
          <w:sz w:val="22"/>
          <w:szCs w:val="22"/>
          <w:shd w:val="clear" w:color="auto" w:fill="ffffff"/>
        </w:rPr>
        <w:t>To combat the ongoing challenge of HBV, it is essential to implement comprehensive strategies that include routine screening, education, and stigma reduction. By improving access to healthcare services and enhancing awareness about HBV, we can significantly reduce the incidence of mother-to-child transmission and improve maternal and child health outcomes in Enugu State and beyond.</w:t>
      </w:r>
    </w:p>
    <w:p>
      <w:pPr>
        <w:pStyle w:val="style3"/>
        <w:keepNext w:val="false"/>
        <w:keepLines w:val="false"/>
        <w:shd w:val="clear" w:color="auto" w:fill="ffffff"/>
        <w:spacing w:after="120" w:lineRule="auto" w:line="360"/>
        <w:rPr>
          <w:rFonts w:ascii="Times New Roman" w:cs="Times New Roman" w:hAnsi="Times New Roman"/>
          <w:sz w:val="22"/>
          <w:szCs w:val="22"/>
        </w:rPr>
      </w:pPr>
      <w:r>
        <w:rPr>
          <w:rFonts w:ascii="Times New Roman" w:cs="Times New Roman" w:eastAsia="Tahoma" w:hAnsi="Times New Roman"/>
          <w:color w:val="262626"/>
          <w:sz w:val="22"/>
          <w:szCs w:val="22"/>
          <w:shd w:val="clear" w:color="auto" w:fill="ffffff"/>
        </w:rPr>
        <w:t>5.7 Recommendations</w:t>
      </w:r>
    </w:p>
    <w:p>
      <w:pPr>
        <w:pStyle w:val="style94"/>
        <w:numPr>
          <w:ilvl w:val="0"/>
          <w:numId w:val="3"/>
        </w:numPr>
        <w:spacing w:before="120" w:beforeAutospacing="false" w:afterAutospacing="false" w:lineRule="auto" w:line="360"/>
        <w:rPr>
          <w:sz w:val="22"/>
          <w:szCs w:val="22"/>
        </w:rPr>
      </w:pPr>
      <w:r>
        <w:rPr>
          <w:rStyle w:val="style87"/>
          <w:rFonts w:eastAsia="Tahoma"/>
          <w:color w:val="262626"/>
          <w:sz w:val="22"/>
          <w:szCs w:val="22"/>
          <w:shd w:val="clear" w:color="auto" w:fill="ffffff"/>
        </w:rPr>
        <w:t>Enhanced Screening Programs</w:t>
      </w:r>
      <w:r>
        <w:rPr>
          <w:rFonts w:eastAsia="Tahoma"/>
          <w:color w:val="262626"/>
          <w:sz w:val="22"/>
          <w:szCs w:val="22"/>
          <w:shd w:val="clear" w:color="auto" w:fill="ffffff"/>
        </w:rPr>
        <w:t>: Implement routine HBV screening in all antenatal care clinics to ensure early identification and management of infected women.</w:t>
      </w:r>
    </w:p>
    <w:p>
      <w:pPr>
        <w:pStyle w:val="style94"/>
        <w:numPr>
          <w:ilvl w:val="0"/>
          <w:numId w:val="3"/>
        </w:numPr>
        <w:spacing w:before="120" w:beforeAutospacing="false" w:afterAutospacing="false" w:lineRule="auto" w:line="360"/>
        <w:rPr>
          <w:sz w:val="22"/>
          <w:szCs w:val="22"/>
        </w:rPr>
      </w:pPr>
      <w:r>
        <w:rPr>
          <w:rStyle w:val="style87"/>
          <w:rFonts w:eastAsia="Tahoma"/>
          <w:color w:val="262626"/>
          <w:sz w:val="22"/>
          <w:szCs w:val="22"/>
          <w:shd w:val="clear" w:color="auto" w:fill="ffffff"/>
        </w:rPr>
        <w:t>Educational Campaigns</w:t>
      </w:r>
      <w:r>
        <w:rPr>
          <w:rFonts w:eastAsia="Tahoma"/>
          <w:color w:val="262626"/>
          <w:sz w:val="22"/>
          <w:szCs w:val="22"/>
          <w:shd w:val="clear" w:color="auto" w:fill="ffffff"/>
        </w:rPr>
        <w:t>: Develop targeted educational programs to raise awareness about HBV transmission, prevention, and the importance of vaccination among pregnant women and healthcare providers.</w:t>
      </w:r>
    </w:p>
    <w:p>
      <w:pPr>
        <w:pStyle w:val="style94"/>
        <w:numPr>
          <w:ilvl w:val="0"/>
          <w:numId w:val="3"/>
        </w:numPr>
        <w:spacing w:before="120" w:beforeAutospacing="false" w:afterAutospacing="false" w:lineRule="auto" w:line="360"/>
        <w:rPr>
          <w:sz w:val="22"/>
          <w:szCs w:val="22"/>
        </w:rPr>
      </w:pPr>
      <w:r>
        <w:rPr>
          <w:rStyle w:val="style87"/>
          <w:rFonts w:eastAsia="Tahoma"/>
          <w:color w:val="262626"/>
          <w:sz w:val="22"/>
          <w:szCs w:val="22"/>
          <w:shd w:val="clear" w:color="auto" w:fill="ffffff"/>
        </w:rPr>
        <w:t>Community Engagement</w:t>
      </w:r>
      <w:r>
        <w:rPr>
          <w:rFonts w:eastAsia="Tahoma"/>
          <w:color w:val="262626"/>
          <w:sz w:val="22"/>
          <w:szCs w:val="22"/>
          <w:shd w:val="clear" w:color="auto" w:fill="ffffff"/>
        </w:rPr>
        <w:t>: Involve community leaders and organizations in promoting understanding and reducing stigma associated with HBV infection.</w:t>
      </w:r>
    </w:p>
    <w:p>
      <w:pPr>
        <w:pStyle w:val="style94"/>
        <w:numPr>
          <w:ilvl w:val="0"/>
          <w:numId w:val="3"/>
        </w:numPr>
        <w:spacing w:before="120" w:beforeAutospacing="false" w:afterAutospacing="false" w:lineRule="auto" w:line="360"/>
        <w:rPr>
          <w:sz w:val="22"/>
          <w:szCs w:val="22"/>
        </w:rPr>
      </w:pPr>
      <w:r>
        <w:rPr>
          <w:rStyle w:val="style87"/>
          <w:rFonts w:eastAsia="Tahoma"/>
          <w:color w:val="262626"/>
          <w:sz w:val="22"/>
          <w:szCs w:val="22"/>
          <w:shd w:val="clear" w:color="auto" w:fill="ffffff"/>
        </w:rPr>
        <w:t>Access to Vaccination</w:t>
      </w:r>
      <w:r>
        <w:rPr>
          <w:rFonts w:eastAsia="Tahoma"/>
          <w:color w:val="262626"/>
          <w:sz w:val="22"/>
          <w:szCs w:val="22"/>
          <w:shd w:val="clear" w:color="auto" w:fill="ffffff"/>
        </w:rPr>
        <w:t>: Ensure that all pregnant women have access to the hepatitis B vaccine and post-exposure prophylaxis for their infants.</w:t>
      </w:r>
    </w:p>
    <w:p>
      <w:pPr>
        <w:pStyle w:val="style94"/>
        <w:numPr>
          <w:ilvl w:val="0"/>
          <w:numId w:val="3"/>
        </w:numPr>
        <w:spacing w:before="120" w:beforeAutospacing="false" w:afterAutospacing="false" w:lineRule="auto" w:line="360"/>
        <w:rPr>
          <w:sz w:val="22"/>
          <w:szCs w:val="22"/>
        </w:rPr>
      </w:pPr>
      <w:r>
        <w:rPr>
          <w:rStyle w:val="style87"/>
          <w:rFonts w:eastAsia="Tahoma"/>
          <w:color w:val="262626"/>
          <w:sz w:val="22"/>
          <w:szCs w:val="22"/>
          <w:shd w:val="clear" w:color="auto" w:fill="ffffff"/>
        </w:rPr>
        <w:t>Monitoring and Evaluation</w:t>
      </w:r>
      <w:r>
        <w:rPr>
          <w:rFonts w:eastAsia="Tahoma"/>
          <w:color w:val="262626"/>
          <w:sz w:val="22"/>
          <w:szCs w:val="22"/>
          <w:shd w:val="clear" w:color="auto" w:fill="ffffff"/>
        </w:rPr>
        <w:t>: Establish a monitoring system to evaluate the effectiveness of public health interventions aimed at reducing HBV transmission rates among pregnant women.</w:t>
      </w:r>
    </w:p>
    <w:p>
      <w:pPr>
        <w:pStyle w:val="style94"/>
        <w:tabs>
          <w:tab w:val="left" w:leader="none" w:pos="420"/>
        </w:tabs>
        <w:spacing w:before="120" w:beforeAutospacing="false" w:afterAutospacing="false" w:lineRule="auto" w:line="240"/>
        <w:rPr>
          <w:sz w:val="22"/>
          <w:szCs w:val="22"/>
        </w:rPr>
      </w:pPr>
      <w:r>
        <w:rPr>
          <w:rStyle w:val="style87"/>
          <w:rFonts w:eastAsia="Tahoma"/>
          <w:color w:val="262626"/>
          <w:sz w:val="22"/>
          <w:szCs w:val="22"/>
          <w:shd w:val="clear" w:color="auto" w:fill="ffffff"/>
        </w:rPr>
        <w:t>Reference</w:t>
      </w:r>
    </w:p>
    <w:p>
      <w:pPr>
        <w:pStyle w:val="style94"/>
        <w:numPr>
          <w:ilvl w:val="0"/>
          <w:numId w:val="4"/>
        </w:numPr>
        <w:spacing w:before="120" w:beforeAutospacing="false" w:afterAutospacing="false" w:lineRule="auto" w:line="240"/>
        <w:rPr>
          <w:color w:val="222222"/>
          <w:sz w:val="22"/>
          <w:szCs w:val="22"/>
          <w:shd w:val="clear" w:color="auto" w:fill="ffffff"/>
        </w:rPr>
      </w:pPr>
      <w:r>
        <w:rPr>
          <w:color w:val="222222"/>
          <w:sz w:val="22"/>
          <w:szCs w:val="22"/>
          <w:shd w:val="clear" w:color="auto" w:fill="ffffff"/>
        </w:rPr>
        <w:t>Maitha GM. </w:t>
      </w:r>
      <w:r>
        <w:rPr>
          <w:i/>
          <w:iCs/>
          <w:color w:val="222222"/>
          <w:sz w:val="22"/>
          <w:szCs w:val="22"/>
          <w:shd w:val="clear" w:color="auto" w:fill="ffffff"/>
        </w:rPr>
        <w:t>Effects of Hepatitis B Virus Co-Infection on Immune Bio-Markers among Hiv Infected Patients Attending Comprehensive Care Clinics in Makueni County</w:t>
      </w:r>
      <w:r>
        <w:rPr>
          <w:color w:val="222222"/>
          <w:sz w:val="22"/>
          <w:szCs w:val="22"/>
          <w:shd w:val="clear" w:color="auto" w:fill="ffffff"/>
        </w:rPr>
        <w:t> (Doctoral dissertation).</w:t>
      </w:r>
    </w:p>
    <w:p>
      <w:pPr>
        <w:pStyle w:val="style94"/>
        <w:numPr>
          <w:ilvl w:val="0"/>
          <w:numId w:val="4"/>
        </w:numPr>
        <w:spacing w:before="120" w:beforeAutospacing="false" w:afterAutospacing="false" w:lineRule="auto" w:line="240"/>
        <w:rPr>
          <w:color w:val="222222"/>
          <w:sz w:val="22"/>
          <w:szCs w:val="22"/>
          <w:shd w:val="clear" w:color="auto" w:fill="ffffff"/>
        </w:rPr>
      </w:pPr>
      <w:r>
        <w:rPr>
          <w:color w:val="222222"/>
          <w:sz w:val="22"/>
          <w:szCs w:val="22"/>
          <w:shd w:val="clear" w:color="auto" w:fill="ffffff"/>
        </w:rPr>
        <w:t>Seto WK, Lo YR, Pawlotsky JM, Yuen MF. Chronic hepatitis B virus infection. The Lancet. 2018 Nov 24;392(10161):2313-24.</w:t>
      </w:r>
    </w:p>
    <w:p>
      <w:pPr>
        <w:pStyle w:val="style94"/>
        <w:numPr>
          <w:ilvl w:val="0"/>
          <w:numId w:val="4"/>
        </w:numPr>
        <w:spacing w:before="120" w:beforeAutospacing="false" w:afterAutospacing="false" w:lineRule="auto" w:line="240"/>
        <w:rPr>
          <w:color w:val="222222"/>
          <w:sz w:val="22"/>
          <w:szCs w:val="22"/>
          <w:shd w:val="clear" w:color="auto" w:fill="ffffff"/>
        </w:rPr>
      </w:pPr>
      <w:r>
        <w:rPr>
          <w:color w:val="222222"/>
          <w:sz w:val="22"/>
          <w:szCs w:val="22"/>
          <w:shd w:val="clear" w:color="auto" w:fill="ffffff"/>
        </w:rPr>
        <w:t>Tu T, Block JM, Wang S, Cohen C, Douglas MW. The lived experience of chronic hepatitis B: a broader view of its impacts and why we need a cure. Viruses. 2020 May 7;12(5):515.</w:t>
      </w:r>
    </w:p>
    <w:p>
      <w:pPr>
        <w:pStyle w:val="style94"/>
        <w:numPr>
          <w:ilvl w:val="0"/>
          <w:numId w:val="4"/>
        </w:numPr>
        <w:spacing w:before="120" w:beforeAutospacing="false" w:afterAutospacing="false" w:lineRule="auto" w:line="240"/>
        <w:rPr>
          <w:color w:val="222222"/>
          <w:sz w:val="22"/>
          <w:szCs w:val="22"/>
          <w:shd w:val="clear" w:color="auto" w:fill="ffffff"/>
        </w:rPr>
      </w:pPr>
      <w:r>
        <w:rPr>
          <w:color w:val="222222"/>
          <w:sz w:val="22"/>
          <w:szCs w:val="22"/>
          <w:shd w:val="clear" w:color="auto" w:fill="ffffff"/>
        </w:rPr>
        <w:t>Tang XD, Ji TT, Dong JR, Feng H, Chen FQ, Chen X, Zhao HY, Chen DK, Ma WT. Pathogenesis and treatment of cytokine storm induced by infectious diseases. International journal of molecular sciences. 2021 Nov 30;22(23):13009.</w:t>
      </w:r>
    </w:p>
    <w:p>
      <w:pPr>
        <w:pStyle w:val="style94"/>
        <w:numPr>
          <w:ilvl w:val="0"/>
          <w:numId w:val="4"/>
        </w:numPr>
        <w:spacing w:before="120" w:beforeAutospacing="false" w:afterAutospacing="false" w:lineRule="auto" w:line="240"/>
        <w:rPr>
          <w:color w:val="222222"/>
          <w:sz w:val="22"/>
          <w:szCs w:val="22"/>
          <w:shd w:val="clear" w:color="auto" w:fill="ffffff"/>
        </w:rPr>
      </w:pPr>
      <w:r>
        <w:rPr>
          <w:color w:val="222222"/>
          <w:sz w:val="22"/>
          <w:szCs w:val="22"/>
          <w:shd w:val="clear" w:color="auto" w:fill="ffffff"/>
        </w:rPr>
        <w:t>Yuen MF, Chen DS, Dusheiko GM, Janssen HL, Lau DT, Locarnini SA, Peters MG, Lai CL. Hepatitis B virus infection. Nature reviews Disease primers. 2018 Jun 7;4(1):1-20.</w:t>
      </w:r>
    </w:p>
    <w:p>
      <w:pPr>
        <w:pStyle w:val="style94"/>
        <w:numPr>
          <w:ilvl w:val="0"/>
          <w:numId w:val="4"/>
        </w:numPr>
        <w:spacing w:before="120" w:beforeAutospacing="false" w:afterAutospacing="false" w:lineRule="auto" w:line="240"/>
        <w:rPr>
          <w:color w:val="222222"/>
          <w:sz w:val="22"/>
          <w:szCs w:val="22"/>
          <w:shd w:val="clear" w:color="auto" w:fill="ffffff"/>
        </w:rPr>
      </w:pPr>
      <w:r>
        <w:rPr>
          <w:color w:val="222222"/>
          <w:sz w:val="22"/>
          <w:szCs w:val="22"/>
          <w:shd w:val="clear" w:color="auto" w:fill="ffffff"/>
        </w:rPr>
        <w:t>Papastergiou V, Lombardi R, MacDonald D, Tsochatzis EA. Global epidemiology of hepatitis B virus (HBV) infection. Current hepatology reports. 2015 Sep;14:171-8.</w:t>
      </w:r>
    </w:p>
    <w:p>
      <w:pPr>
        <w:pStyle w:val="style94"/>
        <w:numPr>
          <w:ilvl w:val="0"/>
          <w:numId w:val="4"/>
        </w:numPr>
        <w:spacing w:before="120" w:beforeAutospacing="false" w:afterAutospacing="false" w:lineRule="auto" w:line="240"/>
        <w:rPr>
          <w:color w:val="222222"/>
          <w:sz w:val="22"/>
          <w:szCs w:val="22"/>
          <w:shd w:val="clear" w:color="auto" w:fill="ffffff"/>
        </w:rPr>
      </w:pPr>
      <w:r>
        <w:rPr>
          <w:color w:val="222222"/>
          <w:sz w:val="22"/>
          <w:szCs w:val="22"/>
          <w:shd w:val="clear" w:color="auto" w:fill="ffffff"/>
        </w:rPr>
        <w:t>Trépo C, Chan HL, Lok A. Hepatitis B virus infection. The Lancet. 2014 Dec 6;384(9959):2053-63.</w:t>
      </w:r>
    </w:p>
    <w:p>
      <w:pPr>
        <w:pStyle w:val="style94"/>
        <w:numPr>
          <w:ilvl w:val="0"/>
          <w:numId w:val="4"/>
        </w:numPr>
        <w:spacing w:before="120" w:beforeAutospacing="false" w:afterAutospacing="false" w:lineRule="auto" w:line="240"/>
        <w:rPr>
          <w:color w:val="222222"/>
          <w:sz w:val="22"/>
          <w:szCs w:val="22"/>
          <w:shd w:val="clear" w:color="auto" w:fill="ffffff"/>
        </w:rPr>
      </w:pPr>
      <w:r>
        <w:rPr>
          <w:color w:val="222222"/>
          <w:sz w:val="22"/>
          <w:szCs w:val="22"/>
          <w:shd w:val="clear" w:color="auto" w:fill="ffffff"/>
        </w:rPr>
        <w:t>Lavanchy D, Kane M. Global epidemiology of hepatitis B virus infection. Hepatitis B virus in human diseases. 2016:187-203.</w:t>
      </w:r>
    </w:p>
    <w:p>
      <w:pPr>
        <w:pStyle w:val="style94"/>
        <w:numPr>
          <w:ilvl w:val="0"/>
          <w:numId w:val="4"/>
        </w:numPr>
        <w:spacing w:before="120" w:beforeAutospacing="false" w:afterAutospacing="false" w:lineRule="auto" w:line="240"/>
        <w:rPr>
          <w:color w:val="222222"/>
          <w:sz w:val="22"/>
          <w:szCs w:val="22"/>
          <w:shd w:val="clear" w:color="auto" w:fill="ffffff"/>
        </w:rPr>
      </w:pPr>
      <w:r>
        <w:rPr>
          <w:color w:val="222222"/>
          <w:sz w:val="22"/>
          <w:szCs w:val="22"/>
          <w:shd w:val="clear" w:color="auto" w:fill="ffffff"/>
        </w:rPr>
        <w:t>Lampertico P, Agarwal K, Berg T, Buti M, Janssen HL, Papatheodoridis G, Zoulim F, Tacke F. EASL 2017 Clinical Practice Guidelines on the management of hepatitis B virus infection. Journal of Hepatology. 2017 Aug 1;67(2):370-98.</w:t>
      </w:r>
    </w:p>
    <w:p>
      <w:pPr>
        <w:pStyle w:val="style94"/>
        <w:numPr>
          <w:ilvl w:val="0"/>
          <w:numId w:val="4"/>
        </w:numPr>
        <w:spacing w:before="120" w:beforeAutospacing="false" w:afterAutospacing="false" w:lineRule="auto" w:line="240"/>
        <w:rPr>
          <w:color w:val="222222"/>
          <w:sz w:val="22"/>
          <w:szCs w:val="22"/>
          <w:shd w:val="clear" w:color="auto" w:fill="ffffff"/>
        </w:rPr>
      </w:pPr>
      <w:r>
        <w:rPr>
          <w:color w:val="222222"/>
          <w:sz w:val="22"/>
          <w:szCs w:val="22"/>
          <w:shd w:val="clear" w:color="auto" w:fill="ffffff"/>
        </w:rPr>
        <w:t>Ma L, Alla NR, Li X, Mynbaev OA, Shi Z. Mother‐to‐child transmission of HBV: review of current clinical management and prevention strategies. Reviews in medical virology. 2014 Nov;24(6):396-406.</w:t>
      </w:r>
    </w:p>
    <w:p>
      <w:pPr>
        <w:pStyle w:val="style94"/>
        <w:numPr>
          <w:ilvl w:val="0"/>
          <w:numId w:val="4"/>
        </w:numPr>
        <w:spacing w:before="120" w:beforeAutospacing="false" w:afterAutospacing="false" w:lineRule="auto" w:line="240"/>
        <w:rPr>
          <w:color w:val="222222"/>
          <w:sz w:val="22"/>
          <w:szCs w:val="22"/>
          <w:shd w:val="clear" w:color="auto" w:fill="ffffff"/>
        </w:rPr>
      </w:pPr>
      <w:r>
        <w:rPr>
          <w:color w:val="222222"/>
          <w:sz w:val="22"/>
          <w:szCs w:val="22"/>
          <w:shd w:val="clear" w:color="auto" w:fill="ffffff"/>
        </w:rPr>
        <w:t>Nelson NP, Jamieson DJ, Murphy TV. Prevention of perinatal hepatitis B virus transmission. Journal of the Pediatric Infectious Diseases Society. 2014 Sep 1;3(suppl_1):S7-12.</w:t>
      </w:r>
    </w:p>
    <w:p>
      <w:pPr>
        <w:pStyle w:val="style94"/>
        <w:numPr>
          <w:ilvl w:val="0"/>
          <w:numId w:val="4"/>
        </w:numPr>
        <w:spacing w:before="120" w:beforeAutospacing="false" w:afterAutospacing="false" w:lineRule="auto" w:line="240"/>
        <w:rPr>
          <w:color w:val="222222"/>
          <w:sz w:val="22"/>
          <w:szCs w:val="22"/>
          <w:shd w:val="clear" w:color="auto" w:fill="ffffff"/>
        </w:rPr>
      </w:pPr>
      <w:r>
        <w:rPr>
          <w:color w:val="222222"/>
          <w:sz w:val="22"/>
          <w:szCs w:val="22"/>
          <w:shd w:val="clear" w:color="auto" w:fill="ffffff"/>
        </w:rPr>
        <w:t xml:space="preserve">World Health Organization. Guidelines for the prevention care and treatment of persons with chronic hepatitis B infection: Mar-15. World Health Organization; 2015 Aug 5. </w:t>
      </w:r>
    </w:p>
    <w:p>
      <w:pPr>
        <w:pStyle w:val="style94"/>
        <w:numPr>
          <w:ilvl w:val="0"/>
          <w:numId w:val="4"/>
        </w:numPr>
        <w:spacing w:before="120" w:beforeAutospacing="false" w:afterAutospacing="false" w:lineRule="auto" w:line="240"/>
        <w:rPr>
          <w:color w:val="222222"/>
          <w:sz w:val="22"/>
          <w:szCs w:val="22"/>
          <w:shd w:val="clear" w:color="auto" w:fill="ffffff"/>
        </w:rPr>
      </w:pPr>
      <w:r>
        <w:rPr>
          <w:color w:val="222222"/>
          <w:sz w:val="22"/>
          <w:szCs w:val="22"/>
          <w:shd w:val="clear" w:color="auto" w:fill="ffffff"/>
        </w:rPr>
        <w:t>Yi P, Chen R, Huang Y, Zhou RR, Fan XG. Management of mother-to-child transmission of hepatitis B virus: Propositions and challenges. Journal of Clinical Virology. 2016 Apr 1;77:32-9.</w:t>
      </w:r>
    </w:p>
    <w:p>
      <w:pPr>
        <w:pStyle w:val="style94"/>
        <w:numPr>
          <w:ilvl w:val="0"/>
          <w:numId w:val="4"/>
        </w:numPr>
        <w:spacing w:before="120" w:beforeAutospacing="false" w:afterAutospacing="false" w:lineRule="auto" w:line="240"/>
        <w:rPr>
          <w:color w:val="222222"/>
          <w:sz w:val="22"/>
          <w:szCs w:val="22"/>
          <w:shd w:val="clear" w:color="auto" w:fill="ffffff"/>
        </w:rPr>
      </w:pPr>
      <w:r>
        <w:rPr>
          <w:color w:val="222222"/>
          <w:sz w:val="22"/>
          <w:szCs w:val="22"/>
          <w:shd w:val="clear" w:color="auto" w:fill="ffffff"/>
        </w:rPr>
        <w:t>Verstegen RH, Chang KJ, Kusters MA. Clinical implications of immune‐mediated diseases in children with Down syndrome. Pediatric allergy and immunology. 2020 Feb;31(2):117-23.</w:t>
      </w:r>
    </w:p>
    <w:p>
      <w:pPr>
        <w:pStyle w:val="style94"/>
        <w:numPr>
          <w:ilvl w:val="0"/>
          <w:numId w:val="4"/>
        </w:numPr>
        <w:spacing w:before="120" w:beforeAutospacing="false" w:afterAutospacing="false" w:lineRule="auto" w:line="240"/>
        <w:rPr>
          <w:color w:val="222222"/>
          <w:sz w:val="22"/>
          <w:szCs w:val="22"/>
          <w:shd w:val="clear" w:color="auto" w:fill="ffffff"/>
        </w:rPr>
      </w:pPr>
      <w:r>
        <w:rPr>
          <w:color w:val="222222"/>
          <w:sz w:val="22"/>
          <w:szCs w:val="22"/>
          <w:shd w:val="clear" w:color="auto" w:fill="ffffff"/>
        </w:rPr>
        <w:t>Stevens CE, Toy P, Kamili S, Taylor PE, Tong MJ, Xia GL, Vyas GN. Eradicating hepatitis B virus: the critical role of preventing perinatal transmission. Biologicals. 2017 Nov 1;50:3-19.</w:t>
      </w:r>
    </w:p>
    <w:p>
      <w:pPr>
        <w:pStyle w:val="style94"/>
        <w:numPr>
          <w:ilvl w:val="0"/>
          <w:numId w:val="4"/>
        </w:numPr>
        <w:spacing w:before="120" w:beforeAutospacing="false" w:afterAutospacing="false" w:lineRule="auto" w:line="240"/>
        <w:rPr>
          <w:color w:val="222222"/>
          <w:sz w:val="22"/>
          <w:szCs w:val="22"/>
          <w:shd w:val="clear" w:color="auto" w:fill="ffffff"/>
        </w:rPr>
      </w:pPr>
      <w:r>
        <w:rPr>
          <w:color w:val="222222"/>
          <w:sz w:val="22"/>
          <w:szCs w:val="22"/>
          <w:shd w:val="clear" w:color="auto" w:fill="ffffff"/>
        </w:rPr>
        <w:t>Ma L, Alla NR, Li X, Mynbaev OA, Shi Z. Mother‐to‐child transmission of HBV: review of current clinical management and prevention strategies. Reviews in medical virology. 2014 Nov;24(6):396-406.</w:t>
      </w:r>
    </w:p>
    <w:p>
      <w:pPr>
        <w:pStyle w:val="style94"/>
        <w:numPr>
          <w:ilvl w:val="0"/>
          <w:numId w:val="4"/>
        </w:numPr>
        <w:spacing w:before="120" w:beforeAutospacing="false" w:afterAutospacing="false" w:lineRule="auto" w:line="240"/>
        <w:rPr>
          <w:color w:val="222222"/>
          <w:sz w:val="22"/>
          <w:szCs w:val="22"/>
          <w:shd w:val="clear" w:color="auto" w:fill="ffffff"/>
        </w:rPr>
      </w:pPr>
      <w:r>
        <w:rPr>
          <w:color w:val="222222"/>
          <w:sz w:val="22"/>
          <w:szCs w:val="22"/>
          <w:shd w:val="clear" w:color="auto" w:fill="ffffff"/>
        </w:rPr>
        <w:t>Shih YF, Liu CJ. Mother-to-infant transmission of hepatitis B virus: challenges and perspectives. Hepatology International. 2017 Nov;11(6):481-4.</w:t>
      </w:r>
    </w:p>
    <w:p>
      <w:pPr>
        <w:pStyle w:val="style94"/>
        <w:numPr>
          <w:ilvl w:val="0"/>
          <w:numId w:val="4"/>
        </w:numPr>
        <w:spacing w:before="120" w:beforeAutospacing="false" w:afterAutospacing="false" w:lineRule="auto" w:line="240"/>
        <w:rPr>
          <w:color w:val="222222"/>
          <w:sz w:val="22"/>
          <w:szCs w:val="22"/>
          <w:shd w:val="clear" w:color="auto" w:fill="ffffff"/>
        </w:rPr>
      </w:pPr>
      <w:r>
        <w:rPr>
          <w:color w:val="222222"/>
          <w:sz w:val="22"/>
          <w:szCs w:val="22"/>
          <w:shd w:val="clear" w:color="auto" w:fill="ffffff"/>
        </w:rPr>
        <w:t>Bleich LM, Swenson ES. Prevention of neonatal hepatitis B virus transmission. Journal of Clinical Gastroenterology. 2014 Oct 1;48(9):765-72.</w:t>
      </w:r>
    </w:p>
    <w:p>
      <w:pPr>
        <w:pStyle w:val="style94"/>
        <w:numPr>
          <w:ilvl w:val="0"/>
          <w:numId w:val="4"/>
        </w:numPr>
        <w:spacing w:before="120" w:beforeAutospacing="false" w:afterAutospacing="false" w:lineRule="auto" w:line="240"/>
        <w:rPr>
          <w:color w:val="222222"/>
          <w:sz w:val="22"/>
          <w:szCs w:val="22"/>
          <w:shd w:val="clear" w:color="auto" w:fill="ffffff"/>
        </w:rPr>
      </w:pPr>
      <w:r>
        <w:rPr>
          <w:color w:val="222222"/>
          <w:sz w:val="22"/>
          <w:szCs w:val="22"/>
          <w:shd w:val="clear" w:color="auto" w:fill="ffffff"/>
        </w:rPr>
        <w:t>Hu YC, Yeh CC, Chen RY, Su CT, Wang WC, Bai CH, Chan CF, Su FH. Seroprevalence of hepatitis B virus in Taiwan 30 years after the commencement of the national vaccination program. PeerJ. 2018 Feb 16;6:e4297.</w:t>
      </w:r>
    </w:p>
    <w:p>
      <w:pPr>
        <w:pStyle w:val="style94"/>
        <w:numPr>
          <w:ilvl w:val="0"/>
          <w:numId w:val="4"/>
        </w:numPr>
        <w:spacing w:before="120" w:beforeAutospacing="false" w:afterAutospacing="false" w:lineRule="auto" w:line="240"/>
        <w:rPr>
          <w:color w:val="222222"/>
          <w:sz w:val="22"/>
          <w:szCs w:val="22"/>
          <w:shd w:val="clear" w:color="auto" w:fill="ffffff"/>
        </w:rPr>
      </w:pPr>
      <w:r>
        <w:rPr>
          <w:color w:val="222222"/>
          <w:sz w:val="22"/>
          <w:szCs w:val="22"/>
          <w:shd w:val="clear" w:color="auto" w:fill="ffffff"/>
        </w:rPr>
        <w:t>Lin CL, Kao JH. the prevention of hepatitis B‐related hepatocellular carcinoma. Alimentary Pharmacology &amp; Therapeutics. 2018 Jul;48(1):5-14.</w:t>
      </w:r>
    </w:p>
    <w:p>
      <w:pPr>
        <w:pStyle w:val="style94"/>
        <w:numPr>
          <w:ilvl w:val="0"/>
          <w:numId w:val="4"/>
        </w:numPr>
        <w:spacing w:before="120" w:beforeAutospacing="false" w:afterAutospacing="false" w:lineRule="auto" w:line="240"/>
        <w:rPr>
          <w:color w:val="222222"/>
          <w:sz w:val="22"/>
          <w:szCs w:val="22"/>
          <w:shd w:val="clear" w:color="auto" w:fill="ffffff"/>
        </w:rPr>
      </w:pPr>
      <w:r>
        <w:rPr>
          <w:color w:val="222222"/>
          <w:sz w:val="22"/>
          <w:szCs w:val="22"/>
          <w:shd w:val="clear" w:color="auto" w:fill="ffffff"/>
        </w:rPr>
        <w:t>World Health Organization. Atlas of African health statistics 2022: health situation analysis of the WHO African Region—summary report.</w:t>
      </w:r>
    </w:p>
    <w:p>
      <w:pPr>
        <w:pStyle w:val="style94"/>
        <w:numPr>
          <w:ilvl w:val="0"/>
          <w:numId w:val="4"/>
        </w:numPr>
        <w:spacing w:before="120" w:beforeAutospacing="false" w:afterAutospacing="false" w:lineRule="auto" w:line="240"/>
        <w:rPr>
          <w:color w:val="222222"/>
          <w:sz w:val="22"/>
          <w:szCs w:val="22"/>
          <w:shd w:val="clear" w:color="auto" w:fill="ffffff"/>
        </w:rPr>
      </w:pPr>
      <w:r>
        <w:rPr>
          <w:color w:val="222222"/>
          <w:sz w:val="22"/>
          <w:szCs w:val="22"/>
          <w:shd w:val="clear" w:color="auto" w:fill="ffffff"/>
        </w:rPr>
        <w:t>Olakunde BO, Adeyinka DA, Olakunde OA, Uthman OA, Bada FO, Nartey YA, Obiri-Yeboah D, Paintsil E, Ezeanolue EE. A systematic review and meta-analysis of the prevalence of hepatitis B virus infection among pregnant women in Nigeria. PloS one. 2021 Oct 29;16(10):e0259218.</w:t>
      </w:r>
    </w:p>
    <w:p>
      <w:pPr>
        <w:pStyle w:val="style94"/>
        <w:numPr>
          <w:ilvl w:val="0"/>
          <w:numId w:val="4"/>
        </w:numPr>
        <w:spacing w:before="120" w:beforeAutospacing="false" w:afterAutospacing="false" w:lineRule="auto" w:line="240"/>
        <w:rPr>
          <w:color w:val="222222"/>
          <w:sz w:val="22"/>
          <w:szCs w:val="22"/>
          <w:shd w:val="clear" w:color="auto" w:fill="ffffff"/>
        </w:rPr>
      </w:pPr>
      <w:r>
        <w:rPr>
          <w:color w:val="222222"/>
          <w:sz w:val="22"/>
          <w:szCs w:val="22"/>
          <w:shd w:val="clear" w:color="auto" w:fill="ffffff"/>
        </w:rPr>
        <w:t>Olayinka AT, Oyemakinde A, Balogun MS, Ajudua A, Nguku P, Aderinola M, Egwuenu-Oladejo A, Ajisegiri SW, Sha'aibu S, Musa BO, Gidado S. Seroprevalence of hepatitis B infection in Nigeria: A national survey. The American journal of tropical medicine and hygiene. 2016 Oct 10;95(4):902.</w:t>
      </w:r>
    </w:p>
    <w:p>
      <w:pPr>
        <w:pStyle w:val="style94"/>
        <w:numPr>
          <w:ilvl w:val="0"/>
          <w:numId w:val="4"/>
        </w:numPr>
        <w:spacing w:before="120" w:beforeAutospacing="false" w:afterAutospacing="false" w:lineRule="auto" w:line="240"/>
        <w:rPr>
          <w:color w:val="222222"/>
          <w:sz w:val="22"/>
          <w:szCs w:val="22"/>
          <w:shd w:val="clear" w:color="auto" w:fill="ffffff"/>
        </w:rPr>
      </w:pPr>
      <w:r>
        <w:rPr>
          <w:color w:val="222222"/>
          <w:sz w:val="22"/>
          <w:szCs w:val="22"/>
          <w:shd w:val="clear" w:color="auto" w:fill="ffffff"/>
        </w:rPr>
        <w:t>Gboeze AJ, Ezeonu PO, Onoh RC, Ukaegbe CI, Nwali MI. Knowledge and awareness of hepatitis B virus infection among pregnant women in Abakaliki Nigeria. Journal of Hepatitis Research. 2015;2(3):1029.</w:t>
      </w:r>
    </w:p>
    <w:p>
      <w:pPr>
        <w:pStyle w:val="style94"/>
        <w:numPr>
          <w:ilvl w:val="0"/>
          <w:numId w:val="4"/>
        </w:numPr>
        <w:spacing w:before="120" w:beforeAutospacing="false" w:afterAutospacing="false" w:lineRule="auto" w:line="240"/>
        <w:rPr>
          <w:color w:val="222222"/>
          <w:sz w:val="22"/>
          <w:szCs w:val="22"/>
          <w:shd w:val="clear" w:color="auto" w:fill="ffffff"/>
        </w:rPr>
      </w:pPr>
      <w:r>
        <w:rPr>
          <w:color w:val="222222"/>
          <w:sz w:val="22"/>
          <w:szCs w:val="22"/>
          <w:shd w:val="clear" w:color="auto" w:fill="ffffff"/>
        </w:rPr>
        <w:t>Mokaya J, McNaughton AL, Burbridge L, Maponga T, O'Hara G, Andersson M, Seeley J, Matthews PC. A blind spot? Confronting the stigma of hepatitis B virus (HBV) infection-A systematic review. Wellcome open research. 2018;3.</w:t>
      </w:r>
    </w:p>
    <w:p>
      <w:pPr>
        <w:pStyle w:val="style94"/>
        <w:numPr>
          <w:ilvl w:val="0"/>
          <w:numId w:val="4"/>
        </w:numPr>
        <w:spacing w:before="120" w:beforeAutospacing="false" w:afterAutospacing="false" w:lineRule="auto" w:line="240"/>
        <w:rPr>
          <w:color w:val="222222"/>
          <w:sz w:val="22"/>
          <w:szCs w:val="22"/>
          <w:shd w:val="clear" w:color="auto" w:fill="ffffff"/>
        </w:rPr>
      </w:pPr>
      <w:r>
        <w:rPr>
          <w:color w:val="222222"/>
          <w:sz w:val="22"/>
          <w:szCs w:val="22"/>
          <w:shd w:val="clear" w:color="auto" w:fill="ffffff"/>
        </w:rPr>
        <w:t>Valizadeh L, Zamanzadeh V, Negarandeh R, Zamani F, Hamidia A, Zabihi A. Psychological reactions among patients with chronic hepatitis B: a qualitative study. Journal of caring sciences. 2016 Mar;5(1):57.</w:t>
      </w:r>
    </w:p>
    <w:p>
      <w:pPr>
        <w:pStyle w:val="style94"/>
        <w:numPr>
          <w:ilvl w:val="0"/>
          <w:numId w:val="4"/>
        </w:numPr>
        <w:spacing w:before="120" w:beforeAutospacing="false" w:afterAutospacing="false" w:lineRule="auto" w:line="240"/>
        <w:rPr>
          <w:color w:val="222222"/>
          <w:sz w:val="22"/>
          <w:szCs w:val="22"/>
          <w:shd w:val="clear" w:color="auto" w:fill="ffffff"/>
        </w:rPr>
      </w:pPr>
      <w:r>
        <w:rPr>
          <w:color w:val="222222"/>
          <w:sz w:val="22"/>
          <w:szCs w:val="22"/>
          <w:shd w:val="clear" w:color="auto" w:fill="ffffff"/>
        </w:rPr>
        <w:t>Nankya-Mutyoba J, Aizire J, Makumbi F, Atuyambe L, Ocama P, Kirk GD. Correlates of hepatitis B awareness and disease-specific knowledge among pregnant women in Northern and Central Uganda: a cross-sectional study. Hepatology, medicine and policy. 2018 Dec;3:1-0.</w:t>
      </w:r>
    </w:p>
    <w:p>
      <w:pPr>
        <w:pStyle w:val="style94"/>
        <w:numPr>
          <w:ilvl w:val="0"/>
          <w:numId w:val="4"/>
        </w:numPr>
        <w:spacing w:before="120" w:beforeAutospacing="false" w:afterAutospacing="false" w:lineRule="auto" w:line="240"/>
        <w:rPr>
          <w:color w:val="222222"/>
          <w:sz w:val="22"/>
          <w:szCs w:val="22"/>
          <w:shd w:val="clear" w:color="auto" w:fill="ffffff"/>
        </w:rPr>
      </w:pPr>
      <w:r>
        <w:rPr>
          <w:color w:val="222222"/>
          <w:sz w:val="22"/>
          <w:szCs w:val="22"/>
          <w:shd w:val="clear" w:color="auto" w:fill="ffffff"/>
        </w:rPr>
        <w:t>Afolabi IB, Aremu AB, Maidoki LA, Atulomah NO. Dynamics of Hepatitis B infection prevention practices among pregnant women attending antenatal care at Lubaga Hospital Kampala, Uganda using the constructs of information-motivation-behavioural skills model. BMC Public Health. 2022 Dec 1;22(1):2243.</w:t>
      </w:r>
    </w:p>
    <w:p>
      <w:pPr>
        <w:pStyle w:val="style0"/>
        <w:spacing w:lineRule="auto" w:line="360"/>
        <w:jc w:val="center"/>
        <w:rPr>
          <w:rFonts w:ascii="Times New Roman" w:cs="Times New Roman" w:hAnsi="Times New Roman"/>
          <w:b/>
          <w:bCs/>
          <w:sz w:val="22"/>
          <w:szCs w:val="22"/>
        </w:rPr>
      </w:pPr>
    </w:p>
    <w:p>
      <w:pPr>
        <w:pStyle w:val="style0"/>
        <w:spacing w:lineRule="auto" w:line="360"/>
        <w:rPr>
          <w:rFonts w:ascii="Times New Roman" w:cs="Times New Roman" w:hAnsi="Times New Roman"/>
          <w:sz w:val="24"/>
          <w:szCs w:val="24"/>
        </w:rPr>
      </w:pPr>
    </w:p>
    <w:sectPr>
      <w:type w:val="continuous"/>
      <w:pgSz w:w="12240" w:h="15840" w:orient="portrait"/>
      <w:pgMar w:top="1440" w:right="1440" w:bottom="1440" w:left="1440" w:header="720" w:footer="720" w:gutter="0"/>
      <w:cols w:space="720"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SimSun"/>
    <w:panose1 w:val="02010600030001010101"/>
    <w:charset w:val="86"/>
    <w:family w:val="auto"/>
    <w:pitch w:val="variable"/>
    <w:sig w:usb0="00000003" w:usb1="080E0000" w:usb2="00000010" w:usb3="00000000" w:csb0="00040001" w:csb1="00000000"/>
  </w:font>
  <w:font w:name="SimSun">
    <w:altName w:val="SimSun"/>
    <w:panose1 w:val="02010600030001010101"/>
    <w:charset w:val="86"/>
    <w:family w:val="auto"/>
    <w:pitch w:val="default"/>
    <w:sig w:usb0="00000203" w:usb1="288F0000" w:usb2="00000006" w:usb3="00000000" w:csb0="00040001" w:csb1="00000000"/>
  </w:font>
  <w:font w:name="Arial">
    <w:altName w:val="Arial"/>
    <w:panose1 w:val="020b0604020002020204"/>
    <w:charset w:val="00"/>
    <w:family w:val="swiss"/>
    <w:pitch w:val="default"/>
    <w:sig w:usb0="E0002EFF" w:usb1="C000785B" w:usb2="00000009" w:usb3="00000000" w:csb0="400001FF" w:csb1="FFFF0000"/>
  </w:font>
  <w:font w:name="黑体">
    <w:altName w:val="SimSun"/>
    <w:panose1 w:val="02010600030001010101"/>
    <w:charset w:val="86"/>
    <w:family w:val="auto"/>
    <w:pitch w:val="default"/>
    <w:sig w:usb0="00000001" w:usb1="080E0000" w:usb2="00000010" w:usb3="00000000" w:csb0="00040000" w:csb1="00000000"/>
  </w:font>
  <w:font w:name="Courier New">
    <w:altName w:val="Courier New"/>
    <w:panose1 w:val="02070309020002020404"/>
    <w:charset w:val="00"/>
    <w:family w:val="modern"/>
    <w:pitch w:val="default"/>
    <w:sig w:usb0="E0002EFF" w:usb1="C0007843" w:usb2="00000009" w:usb3="00000000" w:csb0="400001FF" w:csb1="FFFF0000"/>
  </w:font>
  <w:font w:name="Wingdings">
    <w:altName w:val="Wingdings"/>
    <w:panose1 w:val="05000000000000000000"/>
    <w:charset w:val="02"/>
    <w:family w:val="auto"/>
    <w:pitch w:val="default"/>
    <w:sig w:usb0="00000000" w:usb1="00000000" w:usb2="00000000" w:usb3="00000000" w:csb0="80000000" w:csb1="00000000"/>
  </w:font>
  <w:font w:name="Calibri">
    <w:altName w:val="Calibri"/>
    <w:panose1 w:val="020f0502020002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Tahoma">
    <w:altName w:val="Tahoma"/>
    <w:panose1 w:val="020b0604030005040204"/>
    <w:charset w:val="00"/>
    <w:family w:val="swiss"/>
    <w:pitch w:val="default"/>
    <w:sig w:usb0="E1002EFF" w:usb1="C000605B" w:usb2="00000029" w:usb3="00000000" w:csb0="200101FF" w:csb1="20280000"/>
  </w:font>
  <w:font w:name="Noto Sans Symbols">
    <w:altName w:val="Gadugi"/>
    <w:panose1 w:val="00000000000000000000"/>
    <w:charset w:val="00"/>
    <w:family w:val="swiss"/>
    <w:pitch w:val="default"/>
    <w:sig w:usb0="00000000" w:usb1="00000000" w:usb2="00000000" w:usb3="00000000" w:csb0="00000001" w:csb1="00000000"/>
  </w:font>
  <w:font w:name="Gadugi">
    <w:altName w:val="Gadugi"/>
    <w:panose1 w:val="020b0502040002020203"/>
    <w:charset w:val="00"/>
    <w:family w:val="auto"/>
    <w:pitch w:val="default"/>
    <w:sig w:usb0="80000003" w:usb1="02000000" w:usb2="00003000" w:usb3="00000000" w:csb0="00000001" w:csb1="00000000"/>
  </w:font>
  <w:font w:name="MS PGothic">
    <w:altName w:val="MS PGothic"/>
    <w:panose1 w:val="020b0600070002080204"/>
    <w:charset w:val="80"/>
    <w:family w:val="auto"/>
    <w:pitch w:val="default"/>
    <w:sig w:usb0="E00002FF" w:usb1="6AC7FDFB" w:usb2="08000012" w:usb3="00000000" w:csb0="4002009F" w:csb1="DFD70000"/>
  </w:font>
  <w:font w:name="Arial Unicode MS">
    <w:altName w:val="Arial Unicode MS"/>
    <w:panose1 w:val="020b06040200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1"/>
    <w:multiLevelType w:val="multilevel"/>
    <w:tmpl w:val="0000000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nsid w:val="00000002"/>
    <w:multiLevelType w:val="singleLevel"/>
    <w:tmpl w:val="0FC76BA3"/>
    <w:lvl w:ilvl="0">
      <w:start w:val="1"/>
      <w:numFmt w:val="bullet"/>
      <w:lvlText w:val=""/>
      <w:lvlJc w:val="left"/>
      <w:pPr>
        <w:tabs>
          <w:tab w:val="left" w:leader="none" w:pos="420"/>
        </w:tabs>
        <w:ind w:left="420" w:hanging="420"/>
      </w:pPr>
      <w:rPr>
        <w:rFonts w:ascii="Wingdings" w:hAnsi="Wingdings" w:hint="default"/>
      </w:rPr>
    </w:lvl>
  </w:abstractNum>
  <w:abstractNum w:abstractNumId="3">
    <w:nsid w:val="00000003"/>
    <w:multiLevelType w:val="multilevel"/>
    <w:tmpl w:val="443D1F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rPr>
    </w:rPrDefault>
    <w:pPrDefault>
      <w:pPr/>
    </w:pPrDefault>
  </w:docDefaults>
  <w:style w:type="paragraph" w:default="1" w:styleId="style0">
    <w:name w:val="Normal"/>
    <w:next w:val="style0"/>
    <w:qFormat/>
    <w:uiPriority w:val="0"/>
    <w:pPr>
      <w:spacing w:after="160" w:lineRule="auto" w:line="259"/>
    </w:pPr>
    <w:rPr>
      <w:rFonts w:ascii="Calibri" w:cs="Calibri" w:eastAsia="Calibri" w:hAnsi="Calibri"/>
      <w:sz w:val="22"/>
      <w:szCs w:val="22"/>
      <w:lang w:val="en-US" w:bidi="ar-SA" w:eastAsia="en-US"/>
    </w:rPr>
  </w:style>
  <w:style w:type="paragraph" w:styleId="style2">
    <w:name w:val="heading 2"/>
    <w:basedOn w:val="style0"/>
    <w:next w:val="style0"/>
    <w:link w:val="style4097"/>
    <w:qFormat/>
    <w:uiPriority w:val="9"/>
    <w:pPr>
      <w:keepNext/>
      <w:keepLines/>
      <w:spacing w:before="360" w:after="80"/>
      <w:outlineLvl w:val="1"/>
    </w:pPr>
    <w:rPr>
      <w:b/>
      <w:sz w:val="36"/>
      <w:szCs w:val="36"/>
    </w:rPr>
  </w:style>
  <w:style w:type="paragraph" w:styleId="style3">
    <w:name w:val="heading 3"/>
    <w:basedOn w:val="style0"/>
    <w:next w:val="style0"/>
    <w:link w:val="style4098"/>
    <w:qFormat/>
    <w:uiPriority w:val="9"/>
    <w:pPr>
      <w:keepNext/>
      <w:keepLines/>
      <w:spacing w:before="280" w:after="80"/>
      <w:outlineLvl w:val="2"/>
    </w:pPr>
    <w:rPr>
      <w:b/>
      <w:sz w:val="28"/>
      <w:szCs w:val="28"/>
    </w:rPr>
  </w:style>
  <w:style w:type="character" w:default="1" w:styleId="style65">
    <w:name w:val="Default Paragraph Font"/>
    <w:next w:val="style65"/>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94">
    <w:name w:val="Normal (Web)"/>
    <w:next w:val="style94"/>
    <w:qFormat/>
    <w:uiPriority w:val="0"/>
    <w:pPr>
      <w:spacing w:beforeAutospacing="true" w:after="0" w:afterAutospacing="true" w:lineRule="auto" w:line="278"/>
    </w:pPr>
    <w:rPr>
      <w:rFonts w:ascii="Times New Roman" w:cs="Times New Roman" w:eastAsia="SimSun" w:hAnsi="Times New Roman"/>
      <w:sz w:val="24"/>
      <w:szCs w:val="24"/>
      <w:lang w:val="en-US" w:bidi="ar-SA" w:eastAsia="zh-CN"/>
    </w:rPr>
  </w:style>
  <w:style w:type="character" w:styleId="style87">
    <w:name w:val="Strong"/>
    <w:basedOn w:val="style65"/>
    <w:next w:val="style87"/>
    <w:qFormat/>
    <w:uiPriority w:val="0"/>
    <w:rPr>
      <w:b/>
      <w:bCs/>
    </w:rPr>
  </w:style>
  <w:style w:type="table" w:styleId="style154">
    <w:name w:val="Table Grid"/>
    <w:basedOn w:val="style105"/>
    <w:next w:val="style154"/>
    <w:qFormat/>
    <w:uiPriority w:val="39"/>
    <w:pPr>
      <w:widowControl w:val="false"/>
      <w:spacing w:lineRule="auto" w:line="278"/>
      <w:jc w:val="both"/>
    </w:pPr>
    <w:rPr>
      <w:rFonts w:ascii="Times New Roman" w:cs="Times New Roman" w:eastAsia="SimSun" w:hAnsi="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customStyle="1" w:styleId="style4097">
    <w:name w:val="Heading 2 Char_b794cbd3-f221-4ebd-b92b-cea3871d688a"/>
    <w:basedOn w:val="style65"/>
    <w:next w:val="style4097"/>
    <w:link w:val="style2"/>
    <w:uiPriority w:val="9"/>
    <w:rPr>
      <w:rFonts w:ascii="Calibri" w:cs="Calibri" w:eastAsia="Calibri" w:hAnsi="Calibri"/>
      <w:b/>
      <w:sz w:val="36"/>
      <w:szCs w:val="36"/>
    </w:rPr>
  </w:style>
  <w:style w:type="character" w:customStyle="1" w:styleId="style4098">
    <w:name w:val="Heading 3 Char_e01f1306-25e7-4e3f-b19e-176948b359fe"/>
    <w:basedOn w:val="style65"/>
    <w:next w:val="style4098"/>
    <w:link w:val="style3"/>
    <w:uiPriority w:val="9"/>
    <w:rPr>
      <w:rFonts w:ascii="Calibri" w:cs="Calibri" w:eastAsia="Calibri" w:hAnsi="Calibri"/>
      <w:b/>
      <w:sz w:val="28"/>
      <w:szCs w:val="28"/>
    </w:rPr>
  </w:style>
  <w:style w:type="paragraph" w:customStyle="1" w:styleId="style4099">
    <w:name w:val="List Paragraph1"/>
    <w:basedOn w:val="style0"/>
    <w:next w:val="style409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chart" Target="charts/chart1.xml"/><Relationship Id="rId3" Type="http://schemas.openxmlformats.org/officeDocument/2006/relationships/chart" Target="charts/chart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charts/_rels/chart1.xml.rels><?xml version="1.0" encoding="UTF-8"?>
<Relationships xmlns="http://schemas.openxmlformats.org/package/2006/relationships"><Relationship Id="rId1" Type="http://schemas.openxmlformats.org/officeDocument/2006/relationships/oleObject" TargetMode="External" Target="NULL"/><Relationship Id="rId2" Type="http://schemas.microsoft.com/office/2011/relationships/chartStyle" Target="style1.xml"/><Relationship Id="rId3" Type="http://schemas.microsoft.com/office/2011/relationships/chartColorStyle" Target="colors1.xml"/></Relationships>
</file>

<file path=word/charts/_rels/chart2.xml.rels><?xml version="1.0" encoding="UTF-8"?>
<Relationships xmlns="http://schemas.openxmlformats.org/package/2006/relationships"><Relationship Id="rId1" Type="http://schemas.openxmlformats.org/officeDocument/2006/relationships/oleObject" TargetMode="External" Target="NULL"/><Relationship Id="rId2" Type="http://schemas.microsoft.com/office/2011/relationships/chartStyle" Target="style2.xml"/><Relationship Id="rId3" Type="http://schemas.microsoft.com/office/2011/relationships/chartColorStyle" Target="colors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Sheet3!$E$5</c:f>
              <c:strCache>
                <c:ptCount val="1"/>
                <c:pt idx="0">
                  <c:v>Hepatitis B</c:v>
                </c:pt>
              </c:strCache>
            </c:strRef>
          </c:tx>
          <c:spPr/>
          <c:explosion val="0"/>
          <c:dPt>
            <c:idx val="0"/>
            <c:bubble3D val="0"/>
            <c:spPr>
              <a:solidFill>
                <a:schemeClr val="accent1"/>
              </a:solidFill>
              <a:ln>
                <a:noFill/>
              </a:ln>
              <a:effectLst>
                <a:outerShdw blurRad="254000" sx="102000" sy="102000" algn="ctr" rotWithShape="0">
                  <a:prstClr val="black">
                    <a:alpha val="20000"/>
                  </a:prstClr>
                </a:outerShdw>
              </a:effectLst>
              <a:scene3d>
                <a:camera prst="orthographicFront"/>
                <a:lightRig dir="t" rig="threePt"/>
              </a:scene3d>
              <a:sp3d/>
            </c:spPr>
          </c:dPt>
          <c:dPt>
            <c:idx val="1"/>
            <c:bubble3D val="0"/>
            <c:spPr>
              <a:solidFill>
                <a:schemeClr val="accent2"/>
              </a:solidFill>
              <a:ln>
                <a:noFill/>
              </a:ln>
              <a:effectLst>
                <a:outerShdw blurRad="254000" sx="102000" sy="102000" algn="ctr" rotWithShape="0">
                  <a:prstClr val="black">
                    <a:alpha val="20000"/>
                  </a:prstClr>
                </a:outerShdw>
              </a:effectLst>
              <a:scene3d>
                <a:camera prst="orthographicFront"/>
                <a:lightRig dir="t" rig="threePt"/>
              </a:scene3d>
              <a:sp3d/>
            </c:spPr>
          </c:dPt>
          <c:dLbls>
            <c:dLbl>
              <c:idx val="0"/>
              <c:layout/>
              <c:tx>
                <c:rich>
                  <a:bodyPr rot="0" spcFirstLastPara="1" vertOverflow="ellipsis" vert="horz" wrap="square" lIns="38100" tIns="19050" rIns="38100" bIns="19050" anchor="ctr" anchorCtr="1"/>
                  <a:lstStyle/>
                  <a:p>
                    <a:pPr>
                      <a:defRPr lang="en-US" sz="1000" b="1" i="0" u="none" strike="noStrike" kern="1200" baseline="0">
                        <a:solidFill>
                          <a:schemeClr val="dk1"/>
                        </a:solidFill>
                        <a:latin typeface="+mn-lt"/>
                        <a:ea typeface="+mn-ea"/>
                        <a:cs typeface="+mn-cs"/>
                      </a:defRPr>
                    </a:pPr>
                    <a:r>
                      <a:rPr lang="en-US"/>
                      <a:t>2.7%</a:t>
                    </a:r>
                    <a:endParaRPr lang="en-US"/>
                  </a:p>
                </c:rich>
              </c:tx>
              <c:dLblPos val="ctr"/>
              <c:showLegendKey val="0"/>
              <c:showVal val="0"/>
              <c:showCatName val="0"/>
              <c:showSerName val="0"/>
              <c:showPercent val="1"/>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a:defRPr lang="en-US" sz="1000" b="1" i="0" u="none" strike="noStrike" kern="1200" baseline="0">
                        <a:solidFill>
                          <a:schemeClr val="dk1"/>
                        </a:solidFill>
                        <a:latin typeface="+mn-lt"/>
                        <a:ea typeface="+mn-ea"/>
                        <a:cs typeface="+mn-cs"/>
                      </a:defRPr>
                    </a:pPr>
                    <a:r>
                      <a:rPr lang="en-US"/>
                      <a:t>97.3%</a:t>
                    </a:r>
                    <a:endParaRPr lang="en-US"/>
                  </a:p>
                </c:rich>
              </c:tx>
              <c:dLblPos val="ctr"/>
              <c:showLegendKey val="0"/>
              <c:showVal val="0"/>
              <c:showCatName val="0"/>
              <c:showSerName val="0"/>
              <c:showPercent val="1"/>
              <c:showBubbleSize val="0"/>
              <c:extLst>
                <c:ext xmlns:c15="http://schemas.microsoft.com/office/drawing/2012/chart" uri="{CE6537A1-D6FC-4f65-9D91-7224C49458BB}"/>
              </c:extLst>
            </c:dLbl>
            <c:spPr>
              <a:solidFill>
                <a:schemeClr val="lt1"/>
              </a:solidFill>
              <a:ln w="12700" cap="flat" cmpd="sng" algn="ctr">
                <a:solidFill>
                  <a:schemeClr val="accent1"/>
                </a:solidFill>
                <a:prstDash val="solid"/>
                <a:miter lim="800000"/>
              </a:ln>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dk1"/>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Sheet3!$D$6:$D$7</c:f>
              <c:strCache>
                <c:ptCount val="2"/>
                <c:pt idx="0">
                  <c:v>Positive</c:v>
                </c:pt>
                <c:pt idx="1">
                  <c:v>Negative</c:v>
                </c:pt>
              </c:strCache>
            </c:strRef>
          </c:cat>
          <c:val>
            <c:numRef>
              <c:f>Sheet3!$E$6:$E$7</c:f>
              <c:numCache>
                <c:formatCode>General</c:formatCode>
                <c:ptCount val="2"/>
                <c:pt idx="0">
                  <c:v>3.0</c:v>
                </c:pt>
                <c:pt idx="1">
                  <c:v>97.0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lang="en-US" sz="900" b="0" i="0" u="none" strike="noStrike" kern="1200" baseline="0">
              <a:solidFill>
                <a:schemeClr val="dk1"/>
              </a:solidFill>
              <a:latin typeface="+mn-lt"/>
              <a:ea typeface="+mn-ea"/>
              <a:cs typeface="+mn-cs"/>
            </a:defRPr>
          </a:pPr>
        </a:p>
      </c:txPr>
    </c:legend>
    <c:plotVisOnly val="1"/>
    <c:dispBlanksAs val="gap"/>
    <c:showDLblsOverMax val="0"/>
  </c:chart>
  <c:spPr>
    <a:gradFill flip="none"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tileRect/>
    </a:gradFill>
    <a:ln w="6350" cap="flat" cmpd="sng" algn="ctr">
      <a:solidFill>
        <a:schemeClr val="accent3"/>
      </a:solidFill>
      <a:prstDash val="solid"/>
      <a:miter lim="800000"/>
    </a:ln>
    <a:effectLst/>
  </c:spPr>
  <c:txPr>
    <a:bodyPr/>
    <a:lstStyle/>
    <a:p>
      <a:pPr>
        <a:defRPr lang="en-US">
          <a:solidFill>
            <a:schemeClr val="dk1"/>
          </a:solidFill>
          <a:latin typeface="+mn-lt"/>
          <a:ea typeface="+mn-ea"/>
          <a:cs typeface="+mn-cs"/>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Sheet4!$D$6</c:f>
              <c:strCache>
                <c:ptCount val="1"/>
                <c:pt idx="0">
                  <c:v>Test</c:v>
                </c:pt>
              </c:strCache>
            </c:strRef>
          </c:tx>
          <c:spPr>
            <a:solidFill>
              <a:srgbClr val="C00000"/>
            </a:solidFill>
            <a:ln>
              <a:noFill/>
            </a:ln>
            <a:effectLst/>
            <a:sp3d/>
          </c:spPr>
          <c:invertIfNegative val="0"/>
          <c:dLbls>
            <c:delete val="1"/>
          </c:dLbls>
          <c:cat>
            <c:strRef>
              <c:f>Sheet4!$E$5:$I$5</c:f>
              <c:strCache>
                <c:ptCount val="5"/>
                <c:pt idx="0">
                  <c:v>ALP</c:v>
                </c:pt>
                <c:pt idx="1">
                  <c:v>ALT</c:v>
                </c:pt>
                <c:pt idx="2">
                  <c:v>AST</c:v>
                </c:pt>
                <c:pt idx="3">
                  <c:v>D.BIL</c:v>
                </c:pt>
                <c:pt idx="4">
                  <c:v>T.BIL</c:v>
                </c:pt>
              </c:strCache>
            </c:strRef>
          </c:cat>
          <c:val>
            <c:numRef>
              <c:f>Sheet4!$E$6:$I$6</c:f>
              <c:numCache>
                <c:formatCode>General</c:formatCode>
                <c:ptCount val="5"/>
                <c:pt idx="0">
                  <c:v>100.0</c:v>
                </c:pt>
                <c:pt idx="1">
                  <c:v>55.0</c:v>
                </c:pt>
                <c:pt idx="2">
                  <c:v>60.0</c:v>
                </c:pt>
                <c:pt idx="3">
                  <c:v>90.0</c:v>
                </c:pt>
                <c:pt idx="4">
                  <c:v>100.0</c:v>
                </c:pt>
              </c:numCache>
            </c:numRef>
          </c:val>
        </c:ser>
        <c:ser>
          <c:idx val="1"/>
          <c:order val="1"/>
          <c:tx>
            <c:strRef>
              <c:f>Sheet4!$D$7</c:f>
              <c:strCache>
                <c:ptCount val="1"/>
                <c:pt idx="0">
                  <c:v>Control </c:v>
                </c:pt>
              </c:strCache>
            </c:strRef>
          </c:tx>
          <c:spPr>
            <a:solidFill>
              <a:schemeClr val="accent6">
                <a:lumMod val="50000"/>
              </a:schemeClr>
            </a:solidFill>
            <a:ln>
              <a:solidFill>
                <a:schemeClr val="tx1"/>
              </a:solidFill>
            </a:ln>
            <a:effectLst/>
            <a:sp3d>
              <a:contourClr>
                <a:schemeClr val="tx1"/>
              </a:contourClr>
            </a:sp3d>
          </c:spPr>
          <c:invertIfNegative val="0"/>
          <c:dLbls>
            <c:delete val="1"/>
          </c:dLbls>
          <c:cat>
            <c:strRef>
              <c:f>Sheet4!$E$5:$I$5</c:f>
              <c:strCache>
                <c:ptCount val="5"/>
                <c:pt idx="0">
                  <c:v>ALP</c:v>
                </c:pt>
                <c:pt idx="1">
                  <c:v>ALT</c:v>
                </c:pt>
                <c:pt idx="2">
                  <c:v>AST</c:v>
                </c:pt>
                <c:pt idx="3">
                  <c:v>D.BIL</c:v>
                </c:pt>
                <c:pt idx="4">
                  <c:v>T.BIL</c:v>
                </c:pt>
              </c:strCache>
            </c:strRef>
          </c:cat>
          <c:val>
            <c:numRef>
              <c:f>Sheet4!$E$7:$I$7</c:f>
              <c:numCache>
                <c:formatCode>General</c:formatCode>
                <c:ptCount val="5"/>
                <c:pt idx="0">
                  <c:v>40.0</c:v>
                </c:pt>
                <c:pt idx="1">
                  <c:v>45.0</c:v>
                </c:pt>
                <c:pt idx="2">
                  <c:v>40.0</c:v>
                </c:pt>
                <c:pt idx="3">
                  <c:v>75.0</c:v>
                </c:pt>
                <c:pt idx="4">
                  <c:v>69.0</c:v>
                </c:pt>
              </c:numCache>
            </c:numRef>
          </c:val>
        </c:ser>
        <c:dLbls>
          <c:showLegendKey val="0"/>
          <c:showVal val="0"/>
          <c:showCatName val="0"/>
          <c:showSerName val="0"/>
          <c:showPercent val="0"/>
          <c:showBubbleSize val="0"/>
        </c:dLbls>
        <c:gapWidth val="150"/>
        <c:axId val="205843984"/>
        <c:axId val="205840064"/>
      </c:barChart>
      <c:catAx>
        <c:axId val="2058439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205840064"/>
        <c:crosses val="autoZero"/>
        <c:auto val="1"/>
        <c:lblAlgn val="ctr"/>
        <c:lblOffset val="100"/>
        <c:noMultiLvlLbl val="0"/>
      </c:catAx>
      <c:valAx>
        <c:axId val="205840064"/>
        <c:scaling>
          <c:orientation val="minMax"/>
        </c:scaling>
        <c:delete val="1"/>
        <c:axPos val="l"/>
        <c:numFmt formatCode="General" sourceLinked="1"/>
        <c:majorTickMark val="none"/>
        <c:minorTickMark val="none"/>
        <c:tickLblPos val="nextTo"/>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20584398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26</TotalTime>
  <Words>4692</Words>
  <Pages>18</Pages>
  <Characters>27088</Characters>
  <Application>WPS Office</Application>
  <DocSecurity>0</DocSecurity>
  <Paragraphs>390</Paragraphs>
  <ScaleCrop>false</ScaleCrop>
  <LinksUpToDate>false</LinksUpToDate>
  <CharactersWithSpaces>31554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2024-12-19T10:02:00Z</dcterms:created>
  <dc:creator>Microsoft account</dc:creator>
  <lastModifiedBy>220333QAG</lastModifiedBy>
  <dcterms:modified xsi:type="dcterms:W3CDTF">2025-01-09T11:06:20Z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cb4854fe-f7b1-4550-b7ce-154b67be8790</vt:lpwstr>
  </property>
  <property fmtid="{D5CDD505-2E9C-101B-9397-08002B2CF9AE}" pid="3" name="KSOProductBuildVer">
    <vt:lpwstr>1033-12.2.0.19805</vt:lpwstr>
  </property>
  <property fmtid="{D5CDD505-2E9C-101B-9397-08002B2CF9AE}" pid="4" name="ICV">
    <vt:lpwstr>86B779A2B4814031A1D7D2E050DD7827_13</vt:lpwstr>
  </property>
</Properties>
</file>