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48"/>
          <w:szCs w:val="48"/>
        </w:rPr>
      </w:pPr>
      <w:r>
        <w:rPr>
          <w:rFonts w:ascii="Times New Roman" w:cs="Times New Roman" w:hAnsi="Times New Roman"/>
          <w:sz w:val="48"/>
          <w:szCs w:val="48"/>
        </w:rPr>
        <w:t xml:space="preserve">Evaluation of Liver Enzymes of Human Immunodeficiency Virus (HIV) Seropositive Individuals Attending Clinic at ESUTH </w:t>
      </w:r>
      <w:r>
        <w:rPr>
          <w:rFonts w:ascii="Times New Roman" w:cs="Times New Roman" w:hAnsi="Times New Roman"/>
          <w:sz w:val="48"/>
          <w:szCs w:val="48"/>
        </w:rPr>
        <w:t>Parklane</w:t>
      </w:r>
    </w:p>
    <w:p>
      <w:pPr>
        <w:pStyle w:val="style0"/>
        <w:jc w:val="center"/>
        <w:rPr>
          <w:rFonts w:ascii="Times New Roman" w:cs="Times New Roman" w:hAnsi="Times New Roman"/>
          <w:b/>
          <w:sz w:val="24"/>
          <w:szCs w:val="24"/>
        </w:rPr>
      </w:pPr>
      <w:r>
        <w:rPr>
          <w:rFonts w:ascii="Times New Roman" w:cs="Times New Roman" w:hAnsi="Times New Roman"/>
          <w:b/>
          <w:sz w:val="24"/>
          <w:szCs w:val="24"/>
        </w:rPr>
        <w:t>Ezeaku</w:t>
      </w:r>
      <w:r>
        <w:rPr>
          <w:rFonts w:ascii="Times New Roman" w:cs="Times New Roman" w:hAnsi="Times New Roman"/>
          <w:b/>
          <w:sz w:val="24"/>
          <w:szCs w:val="24"/>
        </w:rPr>
        <w:t xml:space="preserve">, J. </w:t>
      </w:r>
      <w:r>
        <w:rPr>
          <w:rFonts w:ascii="Times New Roman" w:cs="Times New Roman" w:hAnsi="Times New Roman"/>
          <w:b/>
          <w:sz w:val="24"/>
          <w:szCs w:val="24"/>
        </w:rPr>
        <w:t>Ikechukwu</w:t>
      </w:r>
    </w:p>
    <w:p>
      <w:pPr>
        <w:pStyle w:val="style0"/>
        <w:jc w:val="both"/>
        <w:rPr>
          <w:rFonts w:ascii="Times New Roman" w:cs="Times New Roman" w:hAnsi="Times New Roman"/>
          <w:b/>
          <w:sz w:val="24"/>
          <w:szCs w:val="24"/>
        </w:rPr>
      </w:pPr>
      <w:r>
        <w:rPr>
          <w:rFonts w:ascii="Times New Roman" w:cs="Times New Roman" w:hAnsi="Times New Roman"/>
          <w:b/>
          <w:sz w:val="24"/>
          <w:szCs w:val="24"/>
        </w:rPr>
        <w:t>______________________________________________________________________________</w:t>
      </w:r>
    </w:p>
    <w:p>
      <w:pPr>
        <w:pStyle w:val="style0"/>
        <w:spacing w:after="0"/>
        <w:jc w:val="both"/>
        <w:rPr>
          <w:rFonts w:ascii="Times New Roman" w:cs="Times New Roman" w:hAnsi="Times New Roman"/>
          <w:b/>
          <w:sz w:val="18"/>
          <w:szCs w:val="18"/>
        </w:rPr>
      </w:pPr>
      <w:r>
        <w:rPr>
          <w:rFonts w:ascii="Times New Roman" w:cs="Times New Roman" w:hAnsi="Times New Roman"/>
          <w:b/>
          <w:sz w:val="18"/>
          <w:szCs w:val="18"/>
        </w:rPr>
        <w:t xml:space="preserve">ABSTRACT— </w:t>
      </w:r>
      <w:r>
        <w:rPr>
          <w:rFonts w:ascii="Times New Roman" w:cs="Times New Roman" w:hAnsi="Times New Roman"/>
          <w:b/>
          <w:sz w:val="18"/>
          <w:szCs w:val="18"/>
        </w:rPr>
        <w:t>Human immunodeficiency virus (HIV) is a global health issue, more so including those with liver diseases. This study aims to evaluate the prevalence of liver dysfunction among HIV-positive patients attending the ESUT Teaching Hospital. This research involved a mixed cross-sectional study design which included both quantitative and qualitative analysis that took place between 23rd July, 2024 and 10th November, 2024 at ESUTH Teaching Hospital and was used to assess 150 HIV-positive patients. Samples were collected and analyzed for liver enzyme levels using standard methods. Levels of three key liver enzymes were measured: alanine aminotransferase (ALT), aspartate aminotransferase (AST), and alkaline phosphatase (ALP). Statistical methods were employed to determine the prevalence of liver dysfunction, and to explore the relationships between the stage of HIV infection, the types of antiretroviral therapy (ART) the patients were receiving, and any changes in liver enzyme levels. Results revealed that 37 (24.7%) exhibited liver dysfunction, primarily characterized by aspartate aminotransferase (AST) abnormalities, present in 32 patients (86.5%). Demographic analyses indicated that males had a higher prevalence of liver dysfunction (30.8%) compared to females (20.0%), with patients over 60 years having the highest prevalence (28.6%). Statistical methods highlighted significant associations between liver dysfunction and factors such as age, gender, and specific clinical symptoms, including fatigue (33.3%) and jaundice (35.0%). Additionally, patients who had undergone liver function tests (LFTs) in the last six months showed a prevalence of 36.4%. Alcohol and recreational drug use were significant predictors, with prevalence rates of 37.5% and 40.0%, respectively. These findings emphasize the necessity for routine liver function monitoring in HIV-positive individuals, particularly among older males and those exhibiting specific symptoms, to facilitate early detection and management of liver complications, ultimately improving health outcomes and quality of life.</w:t>
      </w:r>
    </w:p>
    <w:p>
      <w:pPr>
        <w:pStyle w:val="style0"/>
        <w:jc w:val="both"/>
        <w:rPr>
          <w:rFonts w:ascii="Times New Roman" w:cs="Times New Roman" w:hAnsi="Times New Roman"/>
          <w:b/>
          <w:sz w:val="18"/>
          <w:szCs w:val="18"/>
        </w:rPr>
        <w:sectPr>
          <w:pgSz w:w="12240" w:h="15840" w:orient="portrait"/>
          <w:pgMar w:top="1440" w:right="1440" w:bottom="1440" w:left="1440" w:header="708" w:footer="708" w:gutter="0"/>
          <w:cols w:space="708"/>
          <w:docGrid w:linePitch="360"/>
        </w:sectPr>
      </w:pPr>
      <w:r>
        <w:rPr>
          <w:rFonts w:ascii="Times New Roman" w:cs="Times New Roman" w:hAnsi="Times New Roman"/>
          <w:b/>
          <w:sz w:val="18"/>
          <w:szCs w:val="18"/>
        </w:rPr>
        <w:t>________________________________________________________________________________________________________</w:t>
      </w:r>
    </w:p>
    <w:p>
      <w:pPr>
        <w:pStyle w:val="style0"/>
        <w:jc w:val="both"/>
        <w:rPr>
          <w:rFonts w:ascii="Times New Roman" w:cs="Times New Roman" w:hAnsi="Times New Roman"/>
          <w:sz w:val="20"/>
          <w:szCs w:val="20"/>
        </w:rPr>
      </w:pPr>
      <w:r>
        <w:rPr>
          <w:rFonts w:ascii="Times New Roman" w:cs="Times New Roman" w:hAnsi="Times New Roman"/>
          <w:sz w:val="20"/>
          <w:szCs w:val="20"/>
        </w:rPr>
        <w:t>I. INT</w:t>
      </w:r>
      <w:r>
        <w:rPr>
          <w:rFonts w:ascii="Times New Roman" w:cs="Times New Roman" w:hAnsi="Times New Roman"/>
          <w:sz w:val="20"/>
          <w:szCs w:val="20"/>
        </w:rPr>
        <w:t xml:space="preserve">RODUCTION </w:t>
      </w:r>
    </w:p>
    <w:p>
      <w:pPr>
        <w:pStyle w:val="style0"/>
        <w:jc w:val="both"/>
        <w:rPr>
          <w:rFonts w:ascii="Times New Roman" w:cs="Times New Roman" w:hAnsi="Times New Roman"/>
          <w:sz w:val="20"/>
          <w:szCs w:val="20"/>
        </w:rPr>
      </w:pPr>
      <w:r>
        <w:rPr>
          <w:rFonts w:ascii="Times New Roman" w:cs="Times New Roman" w:hAnsi="Times New Roman"/>
          <w:sz w:val="20"/>
          <w:szCs w:val="20"/>
        </w:rPr>
        <w:t>Human immunodeficiency virus/ Acquired immunodeficiency syndrome (HIV/AIDS) is a global health crisis that continues to affect millions of people worldwide, with sub-Saharan Africa bearing the brunt of the epidemic (UNAIDS, 2022). In Nigeria, the prevalence of HIV remains a significant challenge, with an estimated 1.9 million people living with the virus as of 2021 (NACA, 2022). Healthcare facilities, such as the ESUT Teaching Hospital, play a crucial role in providing care and treatment to individuals living with HIV.</w:t>
      </w:r>
    </w:p>
    <w:p>
      <w:pPr>
        <w:pStyle w:val="style0"/>
        <w:jc w:val="both"/>
        <w:rPr>
          <w:rFonts w:ascii="Times New Roman" w:cs="Times New Roman" w:hAnsi="Times New Roman"/>
          <w:sz w:val="20"/>
          <w:szCs w:val="20"/>
        </w:rPr>
      </w:pPr>
      <w:r>
        <w:rPr>
          <w:rFonts w:ascii="Times New Roman" w:cs="Times New Roman" w:hAnsi="Times New Roman"/>
          <w:sz w:val="20"/>
          <w:szCs w:val="20"/>
        </w:rPr>
        <w:t>The liver is a vital organ that plays a central role in the metabolism and detoxification of various substances, including the antiretroviral medications used to manage HIV infection (</w:t>
      </w:r>
      <w:r>
        <w:rPr>
          <w:rFonts w:ascii="Times New Roman" w:cs="Times New Roman" w:hAnsi="Times New Roman"/>
          <w:sz w:val="20"/>
          <w:szCs w:val="20"/>
        </w:rPr>
        <w:t>Barritt</w:t>
      </w:r>
      <w:r>
        <w:rPr>
          <w:rFonts w:ascii="Times New Roman" w:cs="Times New Roman" w:hAnsi="Times New Roman"/>
          <w:sz w:val="20"/>
          <w:szCs w:val="20"/>
        </w:rPr>
        <w:t xml:space="preserve"> and Yin, 2019). HIV infection and its treatment can have profound effects on liver function, leading to alterations in liver enzyme levels, such as alanine aminotransferase (ALT), </w:t>
      </w:r>
      <w:r>
        <w:rPr>
          <w:rFonts w:ascii="Times New Roman" w:cs="Times New Roman" w:hAnsi="Times New Roman"/>
          <w:sz w:val="20"/>
          <w:szCs w:val="20"/>
        </w:rPr>
        <w:t>aspartate aminotransferase (AST), and alkaline phosphatase (ALP) (</w:t>
      </w:r>
      <w:r>
        <w:rPr>
          <w:rFonts w:ascii="Times New Roman" w:cs="Times New Roman" w:hAnsi="Times New Roman"/>
          <w:sz w:val="20"/>
          <w:szCs w:val="20"/>
        </w:rPr>
        <w:t>Barritt</w:t>
      </w:r>
      <w:r>
        <w:rPr>
          <w:rFonts w:ascii="Times New Roman" w:cs="Times New Roman" w:hAnsi="Times New Roman"/>
          <w:sz w:val="20"/>
          <w:szCs w:val="20"/>
        </w:rPr>
        <w:t xml:space="preserve"> and Yin, 2019; Crane et al., 2017).</w:t>
      </w:r>
    </w:p>
    <w:p>
      <w:pPr>
        <w:pStyle w:val="style0"/>
        <w:jc w:val="both"/>
        <w:rPr>
          <w:rFonts w:ascii="Times New Roman" w:cs="Times New Roman" w:hAnsi="Times New Roman"/>
          <w:sz w:val="20"/>
          <w:szCs w:val="20"/>
        </w:rPr>
      </w:pPr>
      <w:r>
        <w:rPr>
          <w:rFonts w:ascii="Times New Roman" w:cs="Times New Roman" w:hAnsi="Times New Roman"/>
          <w:sz w:val="20"/>
          <w:szCs w:val="20"/>
        </w:rPr>
        <w:t>Liver dysfunction in HIV-positive patients can be attributed to various factors, including the direct effects of the virus, the toxicity of antiretroviral drugs, and the development of opportunistic infections (</w:t>
      </w:r>
      <w:r>
        <w:rPr>
          <w:rFonts w:ascii="Times New Roman" w:cs="Times New Roman" w:hAnsi="Times New Roman"/>
          <w:sz w:val="20"/>
          <w:szCs w:val="20"/>
        </w:rPr>
        <w:t>Barritt</w:t>
      </w:r>
      <w:r>
        <w:rPr>
          <w:rFonts w:ascii="Times New Roman" w:cs="Times New Roman" w:hAnsi="Times New Roman"/>
          <w:sz w:val="20"/>
          <w:szCs w:val="20"/>
        </w:rPr>
        <w:t xml:space="preserve"> and Yin, 2019; Crane et al., 2017). Monitoring liver enzyme levels is crucial for the management of HIV seropositive patients, as it can help identify the development of liver-related complications and guide appropriate treatment decisions (</w:t>
      </w:r>
      <w:r>
        <w:rPr>
          <w:rFonts w:ascii="Times New Roman" w:cs="Times New Roman" w:hAnsi="Times New Roman"/>
          <w:sz w:val="20"/>
          <w:szCs w:val="20"/>
        </w:rPr>
        <w:t>Barritt</w:t>
      </w:r>
      <w:r>
        <w:rPr>
          <w:rFonts w:ascii="Times New Roman" w:cs="Times New Roman" w:hAnsi="Times New Roman"/>
          <w:sz w:val="20"/>
          <w:szCs w:val="20"/>
        </w:rPr>
        <w:t xml:space="preserve"> and Yin, 2019; Crane et al., 2017).</w:t>
      </w:r>
    </w:p>
    <w:p>
      <w:pPr>
        <w:pStyle w:val="style0"/>
        <w:jc w:val="both"/>
        <w:rPr>
          <w:rFonts w:ascii="Times New Roman" w:cs="Times New Roman" w:hAnsi="Times New Roman"/>
          <w:sz w:val="20"/>
          <w:szCs w:val="20"/>
        </w:rPr>
      </w:pPr>
      <w:r>
        <w:rPr>
          <w:rFonts w:ascii="Times New Roman" w:cs="Times New Roman" w:hAnsi="Times New Roman"/>
          <w:sz w:val="20"/>
          <w:szCs w:val="20"/>
        </w:rPr>
        <w:t>The aim of this study is to investigate the biochemical changes, specifically the alterations in liver parameters, among HIV seropositive patients attending the ESUT Teaching Hospital.</w:t>
      </w:r>
    </w:p>
    <w:p>
      <w:pPr>
        <w:pStyle w:val="style0"/>
        <w:jc w:val="both"/>
        <w:rPr>
          <w:rFonts w:ascii="Times New Roman" w:cs="Times New Roman" w:hAnsi="Times New Roman"/>
          <w:sz w:val="20"/>
          <w:szCs w:val="20"/>
        </w:rPr>
      </w:pPr>
    </w:p>
    <w:p>
      <w:pPr>
        <w:pStyle w:val="style0"/>
        <w:jc w:val="both"/>
        <w:rPr>
          <w:rFonts w:ascii="Times New Roman" w:cs="Times New Roman" w:hAnsi="Times New Roman"/>
          <w:sz w:val="20"/>
          <w:szCs w:val="20"/>
        </w:rPr>
      </w:pPr>
      <w:r>
        <w:rPr>
          <w:rFonts w:ascii="Times New Roman" w:cs="Times New Roman" w:hAnsi="Times New Roman"/>
          <w:sz w:val="20"/>
          <w:szCs w:val="20"/>
        </w:rPr>
        <w:t xml:space="preserve">II. MATERIALS AND METHODS </w:t>
      </w:r>
    </w:p>
    <w:p>
      <w:pPr>
        <w:pStyle w:val="style0"/>
        <w:jc w:val="both"/>
        <w:rPr>
          <w:rFonts w:ascii="Times New Roman" w:cs="Times New Roman" w:hAnsi="Times New Roman"/>
          <w:b/>
          <w:sz w:val="20"/>
          <w:szCs w:val="20"/>
        </w:rPr>
      </w:pPr>
      <w:r>
        <w:rPr>
          <w:rFonts w:ascii="Times New Roman" w:cs="Times New Roman" w:hAnsi="Times New Roman"/>
          <w:b/>
          <w:sz w:val="20"/>
          <w:szCs w:val="20"/>
        </w:rPr>
        <w:t>Study Design</w:t>
      </w:r>
    </w:p>
    <w:p>
      <w:pPr>
        <w:pStyle w:val="style0"/>
        <w:jc w:val="both"/>
        <w:rPr>
          <w:rFonts w:ascii="Times New Roman" w:cs="Times New Roman" w:hAnsi="Times New Roman"/>
          <w:sz w:val="20"/>
          <w:szCs w:val="20"/>
        </w:rPr>
      </w:pPr>
      <w:r>
        <w:rPr>
          <w:rFonts w:ascii="Times New Roman" w:cs="Times New Roman" w:hAnsi="Times New Roman"/>
          <w:sz w:val="20"/>
          <w:szCs w:val="20"/>
        </w:rPr>
        <w:t>A cross-sectional study design was employed to investigate the relationship between HIV infection, antiretroviral therapy, and changes in liver parameters among patients attending the ESUT Teaching Hospital.</w:t>
      </w:r>
    </w:p>
    <w:p>
      <w:pPr>
        <w:pStyle w:val="style0"/>
        <w:jc w:val="both"/>
        <w:rPr>
          <w:rFonts w:ascii="Times New Roman" w:cs="Times New Roman" w:hAnsi="Times New Roman"/>
          <w:b/>
          <w:sz w:val="20"/>
          <w:szCs w:val="20"/>
        </w:rPr>
      </w:pPr>
      <w:r>
        <w:rPr>
          <w:rFonts w:ascii="Times New Roman" w:cs="Times New Roman" w:hAnsi="Times New Roman"/>
          <w:b/>
          <w:sz w:val="20"/>
          <w:szCs w:val="20"/>
        </w:rPr>
        <w:t>Study Area</w:t>
      </w:r>
    </w:p>
    <w:p>
      <w:pPr>
        <w:pStyle w:val="style0"/>
        <w:jc w:val="both"/>
        <w:rPr>
          <w:rFonts w:ascii="Times New Roman" w:cs="Times New Roman" w:hAnsi="Times New Roman"/>
          <w:sz w:val="20"/>
          <w:szCs w:val="20"/>
        </w:rPr>
      </w:pPr>
      <w:r>
        <w:rPr>
          <w:rFonts w:ascii="Times New Roman" w:cs="Times New Roman" w:hAnsi="Times New Roman"/>
          <w:sz w:val="20"/>
          <w:szCs w:val="20"/>
        </w:rPr>
        <w:t>The study was conducted at the ESUT Teaching Hospital, a tertiary healthcare facility located in Enugu, Enugu State, Nigeria. This hospital serves as a referral center for patients from the surrounding communities and provides comprehensive healthcare services, including specialized care for individuals living with HIV/AIDS.</w:t>
      </w:r>
    </w:p>
    <w:p>
      <w:pPr>
        <w:pStyle w:val="style0"/>
        <w:jc w:val="both"/>
        <w:rPr>
          <w:rFonts w:ascii="Times New Roman" w:cs="Times New Roman" w:hAnsi="Times New Roman"/>
          <w:b/>
          <w:sz w:val="20"/>
          <w:szCs w:val="20"/>
        </w:rPr>
      </w:pPr>
      <w:r>
        <w:rPr>
          <w:rFonts w:ascii="Times New Roman" w:cs="Times New Roman" w:hAnsi="Times New Roman"/>
          <w:b/>
          <w:sz w:val="20"/>
          <w:szCs w:val="20"/>
        </w:rPr>
        <w:t>Ethical Considerations</w:t>
      </w:r>
    </w:p>
    <w:p>
      <w:pPr>
        <w:pStyle w:val="style0"/>
        <w:jc w:val="both"/>
        <w:rPr>
          <w:rFonts w:ascii="Times New Roman" w:cs="Times New Roman" w:hAnsi="Times New Roman"/>
          <w:sz w:val="20"/>
          <w:szCs w:val="20"/>
        </w:rPr>
      </w:pPr>
      <w:r>
        <w:rPr>
          <w:rFonts w:ascii="Times New Roman" w:cs="Times New Roman" w:hAnsi="Times New Roman"/>
          <w:sz w:val="20"/>
          <w:szCs w:val="20"/>
        </w:rPr>
        <w:t>The study protocol was reviewed and approved by the Institutional Review Board (IRB) of the ESUT Teaching Hospital. Informed consent was obtained from all participants prior to their enrollment in the study. Participants' confidentiality and privacy will be strictly maintained t</w:t>
      </w:r>
      <w:r>
        <w:rPr>
          <w:rFonts w:ascii="Times New Roman" w:cs="Times New Roman" w:hAnsi="Times New Roman"/>
          <w:sz w:val="20"/>
          <w:szCs w:val="20"/>
        </w:rPr>
        <w:t>hroughout the research process.</w:t>
      </w:r>
    </w:p>
    <w:p>
      <w:pPr>
        <w:pStyle w:val="style0"/>
        <w:jc w:val="both"/>
        <w:rPr>
          <w:rFonts w:ascii="Times New Roman" w:cs="Times New Roman" w:hAnsi="Times New Roman"/>
          <w:b/>
          <w:sz w:val="20"/>
          <w:szCs w:val="20"/>
        </w:rPr>
      </w:pPr>
      <w:r>
        <w:rPr>
          <w:rFonts w:ascii="Times New Roman" w:cs="Times New Roman" w:hAnsi="Times New Roman"/>
          <w:b/>
          <w:sz w:val="20"/>
          <w:szCs w:val="20"/>
        </w:rPr>
        <w:t>Study Population</w:t>
      </w:r>
    </w:p>
    <w:p>
      <w:pPr>
        <w:pStyle w:val="style0"/>
        <w:jc w:val="both"/>
        <w:rPr>
          <w:rFonts w:ascii="Times New Roman" w:cs="Times New Roman" w:hAnsi="Times New Roman"/>
          <w:sz w:val="20"/>
          <w:szCs w:val="20"/>
        </w:rPr>
      </w:pPr>
      <w:r>
        <w:rPr>
          <w:rFonts w:ascii="Times New Roman" w:cs="Times New Roman" w:hAnsi="Times New Roman"/>
          <w:sz w:val="20"/>
          <w:szCs w:val="20"/>
        </w:rPr>
        <w:t>i</w:t>
      </w:r>
      <w:r>
        <w:rPr>
          <w:rFonts w:ascii="Times New Roman" w:cs="Times New Roman" w:hAnsi="Times New Roman"/>
          <w:sz w:val="20"/>
          <w:szCs w:val="20"/>
        </w:rPr>
        <w:t xml:space="preserve">. </w:t>
      </w:r>
      <w:r>
        <w:rPr>
          <w:rFonts w:ascii="Times New Roman" w:cs="Times New Roman" w:hAnsi="Times New Roman"/>
          <w:sz w:val="20"/>
          <w:szCs w:val="20"/>
        </w:rPr>
        <w:t>Inclusion Criteria</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HIV-positive patients attending the ESUT Teaching Hospital</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Aged 18 years and above</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Willing to provide informed consent</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Exclusion Criteria</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Patients with pre-existing liver or kidney diseases</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Patients who have received liver transplants</w:t>
      </w:r>
    </w:p>
    <w:p>
      <w:pPr>
        <w:pStyle w:val="style0"/>
        <w:spacing w:after="0"/>
        <w:jc w:val="both"/>
        <w:rPr>
          <w:rFonts w:ascii="Times New Roman" w:cs="Times New Roman" w:hAnsi="Times New Roman"/>
          <w:sz w:val="20"/>
          <w:szCs w:val="20"/>
        </w:rPr>
      </w:pPr>
      <w:r>
        <w:rPr>
          <w:rFonts w:ascii="Times New Roman" w:cs="Times New Roman" w:hAnsi="Times New Roman"/>
          <w:sz w:val="20"/>
          <w:szCs w:val="20"/>
        </w:rPr>
        <w:t>Patients who are currently abusing alcohol or other hepatotoxic substances</w:t>
      </w:r>
    </w:p>
    <w:p>
      <w:pPr>
        <w:pStyle w:val="style0"/>
        <w:jc w:val="both"/>
        <w:rPr>
          <w:rFonts w:ascii="Times New Roman" w:cs="Times New Roman" w:hAnsi="Times New Roman"/>
          <w:b/>
          <w:sz w:val="20"/>
          <w:szCs w:val="20"/>
        </w:rPr>
      </w:pPr>
      <w:r>
        <w:rPr>
          <w:rFonts w:ascii="Times New Roman" w:cs="Times New Roman" w:hAnsi="Times New Roman"/>
          <w:b/>
          <w:sz w:val="20"/>
          <w:szCs w:val="20"/>
        </w:rPr>
        <w:t>Sampling Technique</w:t>
      </w:r>
    </w:p>
    <w:p>
      <w:pPr>
        <w:pStyle w:val="style0"/>
        <w:jc w:val="both"/>
        <w:rPr>
          <w:rFonts w:ascii="Times New Roman" w:cs="Times New Roman" w:hAnsi="Times New Roman"/>
          <w:sz w:val="20"/>
          <w:szCs w:val="20"/>
        </w:rPr>
      </w:pPr>
      <w:r>
        <w:rPr>
          <w:rFonts w:ascii="Times New Roman" w:cs="Times New Roman" w:hAnsi="Times New Roman"/>
          <w:sz w:val="20"/>
          <w:szCs w:val="20"/>
        </w:rPr>
        <w:t>A consecutive sampling technique was used to recruit participants for the study. All eligible HIV-positive patients attending the ESUT Teaching Hospital during the study period will be invited to participate until the required sample size is achieved.</w:t>
      </w:r>
    </w:p>
    <w:p>
      <w:pPr>
        <w:pStyle w:val="style0"/>
        <w:jc w:val="both"/>
        <w:rPr>
          <w:rFonts w:ascii="Times New Roman" w:cs="Times New Roman" w:hAnsi="Times New Roman"/>
          <w:b/>
          <w:sz w:val="20"/>
          <w:szCs w:val="20"/>
        </w:rPr>
      </w:pPr>
      <w:r>
        <w:rPr>
          <w:rFonts w:ascii="Times New Roman" w:cs="Times New Roman" w:hAnsi="Times New Roman"/>
          <w:b/>
          <w:sz w:val="20"/>
          <w:szCs w:val="20"/>
        </w:rPr>
        <w:t>LABORATORY METHODS</w:t>
      </w:r>
    </w:p>
    <w:p>
      <w:pPr>
        <w:pStyle w:val="style0"/>
        <w:jc w:val="both"/>
        <w:rPr>
          <w:rFonts w:ascii="Times New Roman" w:cs="Times New Roman" w:hAnsi="Times New Roman"/>
          <w:b/>
          <w:sz w:val="20"/>
          <w:szCs w:val="20"/>
        </w:rPr>
      </w:pPr>
      <w:r>
        <w:rPr>
          <w:rFonts w:ascii="Times New Roman" w:cs="Times New Roman" w:hAnsi="Times New Roman"/>
          <w:b/>
          <w:sz w:val="20"/>
          <w:szCs w:val="20"/>
        </w:rPr>
        <w:t>Aspartate Aminotransferase (AST)</w:t>
      </w:r>
    </w:p>
    <w:p>
      <w:pPr>
        <w:pStyle w:val="style0"/>
        <w:jc w:val="both"/>
        <w:rPr>
          <w:rFonts w:ascii="Times New Roman" w:cs="Times New Roman" w:hAnsi="Times New Roman"/>
          <w:sz w:val="20"/>
          <w:szCs w:val="20"/>
        </w:rPr>
      </w:pPr>
      <w:r>
        <w:rPr>
          <w:rFonts w:ascii="Times New Roman" w:cs="Times New Roman" w:hAnsi="Times New Roman"/>
          <w:sz w:val="20"/>
          <w:szCs w:val="20"/>
        </w:rPr>
        <w:t xml:space="preserve">A total of 100 micro liter of serum sample was pipetted into a clean test tube, 500 micro litter of AST substrate </w:t>
      </w:r>
      <w:r>
        <w:rPr>
          <w:rFonts w:ascii="Times New Roman" w:cs="Times New Roman" w:hAnsi="Times New Roman"/>
          <w:sz w:val="20"/>
          <w:szCs w:val="20"/>
        </w:rPr>
        <w:t xml:space="preserve">was also pipetted into the test tube, mixed together and incubated at 370C for 40 minutes. A blank test tube containing water instead of the serum sample was also prepared for quality control. After the incubation, 500 micro </w:t>
      </w:r>
      <w:r>
        <w:rPr>
          <w:rFonts w:ascii="Times New Roman" w:cs="Times New Roman" w:hAnsi="Times New Roman"/>
          <w:sz w:val="20"/>
          <w:szCs w:val="20"/>
        </w:rPr>
        <w:t>liter</w:t>
      </w:r>
      <w:r>
        <w:rPr>
          <w:rFonts w:ascii="Times New Roman" w:cs="Times New Roman" w:hAnsi="Times New Roman"/>
          <w:sz w:val="20"/>
          <w:szCs w:val="20"/>
        </w:rPr>
        <w:t xml:space="preserve"> of 2,4 - </w:t>
      </w:r>
      <w:r>
        <w:rPr>
          <w:rFonts w:ascii="Times New Roman" w:cs="Times New Roman" w:hAnsi="Times New Roman"/>
          <w:sz w:val="20"/>
          <w:szCs w:val="20"/>
        </w:rPr>
        <w:t>Dinitrophenylhydraxin</w:t>
      </w:r>
      <w:r>
        <w:rPr>
          <w:rFonts w:ascii="Times New Roman" w:cs="Times New Roman" w:hAnsi="Times New Roman"/>
          <w:sz w:val="20"/>
          <w:szCs w:val="20"/>
        </w:rPr>
        <w:t xml:space="preserve"> was pipetted into the test tube and mixed gently and left to stand for 20 </w:t>
      </w:r>
      <w:r>
        <w:rPr>
          <w:rFonts w:ascii="Times New Roman" w:cs="Times New Roman" w:hAnsi="Times New Roman"/>
          <w:sz w:val="20"/>
          <w:szCs w:val="20"/>
        </w:rPr>
        <w:t>minnutes</w:t>
      </w:r>
      <w:r>
        <w:rPr>
          <w:rFonts w:ascii="Times New Roman" w:cs="Times New Roman" w:hAnsi="Times New Roman"/>
          <w:sz w:val="20"/>
          <w:szCs w:val="20"/>
        </w:rPr>
        <w:t xml:space="preserve"> at room temperature. A total of 5ml of 0.4 normal Sodium hydroxide was added to the test tubes to develop the </w:t>
      </w:r>
      <w:r>
        <w:rPr>
          <w:rFonts w:ascii="Times New Roman" w:cs="Times New Roman" w:hAnsi="Times New Roman"/>
          <w:sz w:val="20"/>
          <w:szCs w:val="20"/>
        </w:rPr>
        <w:t>colour</w:t>
      </w:r>
      <w:r>
        <w:rPr>
          <w:rFonts w:ascii="Times New Roman" w:cs="Times New Roman" w:hAnsi="Times New Roman"/>
          <w:sz w:val="20"/>
          <w:szCs w:val="20"/>
        </w:rPr>
        <w:t xml:space="preserve"> and allowed to stand for 5mins at room temperature. The sample was read using semi auto analyzer and results taken. The reference normal range is 8 to 33 units per liter (U/L).</w:t>
      </w:r>
    </w:p>
    <w:p>
      <w:pPr>
        <w:pStyle w:val="style0"/>
        <w:jc w:val="both"/>
        <w:rPr>
          <w:rFonts w:ascii="Times New Roman" w:cs="Times New Roman" w:hAnsi="Times New Roman"/>
          <w:b/>
          <w:sz w:val="20"/>
          <w:szCs w:val="20"/>
        </w:rPr>
      </w:pPr>
      <w:r>
        <w:rPr>
          <w:rFonts w:ascii="Times New Roman" w:cs="Times New Roman" w:hAnsi="Times New Roman"/>
          <w:b/>
          <w:sz w:val="20"/>
          <w:szCs w:val="20"/>
        </w:rPr>
        <w:t>Alanine Transaminase (ALT)</w:t>
      </w:r>
    </w:p>
    <w:p>
      <w:pPr>
        <w:pStyle w:val="style0"/>
        <w:jc w:val="both"/>
        <w:rPr>
          <w:rFonts w:ascii="Times New Roman" w:cs="Times New Roman" w:hAnsi="Times New Roman"/>
          <w:sz w:val="20"/>
          <w:szCs w:val="20"/>
        </w:rPr>
      </w:pPr>
      <w:r>
        <w:rPr>
          <w:rFonts w:ascii="Times New Roman" w:cs="Times New Roman" w:hAnsi="Times New Roman"/>
          <w:sz w:val="20"/>
          <w:szCs w:val="20"/>
        </w:rPr>
        <w:t xml:space="preserve">A total pf 100 micro liter of serum sample was pipetted into a clean test tube, 500 micro litter of ALT substrate was also pipetted into the test tube, mixed together and incubated at 370C for 30 minutes. A blank test tube containing water instead of the serum sample was also prepared for quality control. After the incubation, 500 micro </w:t>
      </w:r>
      <w:r>
        <w:rPr>
          <w:rFonts w:ascii="Times New Roman" w:cs="Times New Roman" w:hAnsi="Times New Roman"/>
          <w:sz w:val="20"/>
          <w:szCs w:val="20"/>
        </w:rPr>
        <w:t>liter</w:t>
      </w:r>
      <w:r>
        <w:rPr>
          <w:rFonts w:ascii="Times New Roman" w:cs="Times New Roman" w:hAnsi="Times New Roman"/>
          <w:sz w:val="20"/>
          <w:szCs w:val="20"/>
        </w:rPr>
        <w:t xml:space="preserve"> of 2,4 - </w:t>
      </w:r>
      <w:r>
        <w:rPr>
          <w:rFonts w:ascii="Times New Roman" w:cs="Times New Roman" w:hAnsi="Times New Roman"/>
          <w:sz w:val="20"/>
          <w:szCs w:val="20"/>
        </w:rPr>
        <w:t>Dinitrophenylhydraxin</w:t>
      </w:r>
      <w:r>
        <w:rPr>
          <w:rFonts w:ascii="Times New Roman" w:cs="Times New Roman" w:hAnsi="Times New Roman"/>
          <w:sz w:val="20"/>
          <w:szCs w:val="20"/>
        </w:rPr>
        <w:t xml:space="preserve"> was pipetted into the test tube and mixed gently and left to stand for 20 minutes at room temperature. A total of 5ml of 0.4 normal Sodium hydroxide was added to the test tubes to develop the </w:t>
      </w:r>
      <w:r>
        <w:rPr>
          <w:rFonts w:ascii="Times New Roman" w:cs="Times New Roman" w:hAnsi="Times New Roman"/>
          <w:sz w:val="20"/>
          <w:szCs w:val="20"/>
        </w:rPr>
        <w:t>colour</w:t>
      </w:r>
      <w:r>
        <w:rPr>
          <w:rFonts w:ascii="Times New Roman" w:cs="Times New Roman" w:hAnsi="Times New Roman"/>
          <w:sz w:val="20"/>
          <w:szCs w:val="20"/>
        </w:rPr>
        <w:t xml:space="preserve"> and allowed to stand for 5mins at room temperature. The sample was read using semi auto analyzer and results taken. The reference normal range is</w:t>
      </w:r>
      <w:r>
        <w:rPr>
          <w:rFonts w:ascii="Times New Roman" w:cs="Times New Roman" w:hAnsi="Times New Roman"/>
          <w:sz w:val="20"/>
          <w:szCs w:val="20"/>
        </w:rPr>
        <w:t xml:space="preserve"> 4 to 36 units per liter (U/L). </w:t>
      </w:r>
    </w:p>
    <w:p>
      <w:pPr>
        <w:pStyle w:val="style0"/>
        <w:jc w:val="both"/>
        <w:rPr>
          <w:rFonts w:ascii="Times New Roman" w:cs="Times New Roman" w:hAnsi="Times New Roman"/>
          <w:b/>
          <w:sz w:val="20"/>
          <w:szCs w:val="20"/>
        </w:rPr>
      </w:pPr>
      <w:r>
        <w:rPr>
          <w:rFonts w:ascii="Times New Roman" w:cs="Times New Roman" w:hAnsi="Times New Roman"/>
          <w:b/>
          <w:sz w:val="20"/>
          <w:szCs w:val="20"/>
        </w:rPr>
        <w:t>Alkaline Phosphate (ALP)</w:t>
      </w:r>
    </w:p>
    <w:p>
      <w:pPr>
        <w:pStyle w:val="style0"/>
        <w:jc w:val="both"/>
        <w:rPr>
          <w:rFonts w:ascii="Times New Roman" w:cs="Times New Roman" w:hAnsi="Times New Roman"/>
          <w:sz w:val="20"/>
          <w:szCs w:val="20"/>
        </w:rPr>
      </w:pPr>
      <w:r>
        <w:rPr>
          <w:rFonts w:ascii="Times New Roman" w:cs="Times New Roman" w:hAnsi="Times New Roman"/>
          <w:sz w:val="20"/>
          <w:szCs w:val="20"/>
        </w:rPr>
        <w:t>This procedure is a kinetic method. 20 micro liter of serum sample was pipetted into a clean test tube, 1000 micro liter of ALP substrate was also pipetted into the text tube, mixed together and aspirated immediately. The sample was read immediately using semi auto analyzer in 2minutes. The reference normal range is 44 to 147 international units per liter (IU/L).</w:t>
      </w:r>
    </w:p>
    <w:p>
      <w:pPr>
        <w:pStyle w:val="style0"/>
        <w:jc w:val="both"/>
        <w:rPr>
          <w:rFonts w:ascii="Times New Roman" w:cs="Times New Roman" w:hAnsi="Times New Roman"/>
          <w:b/>
          <w:sz w:val="20"/>
          <w:szCs w:val="20"/>
        </w:rPr>
      </w:pPr>
      <w:r>
        <w:rPr>
          <w:rFonts w:ascii="Times New Roman" w:cs="Times New Roman" w:hAnsi="Times New Roman"/>
          <w:b/>
          <w:sz w:val="20"/>
          <w:szCs w:val="20"/>
        </w:rPr>
        <w:t>Data Analysis</w:t>
      </w:r>
    </w:p>
    <w:p>
      <w:pPr>
        <w:pStyle w:val="style0"/>
        <w:jc w:val="both"/>
        <w:rPr>
          <w:rFonts w:ascii="Times New Roman" w:cs="Times New Roman" w:hAnsi="Times New Roman"/>
          <w:sz w:val="20"/>
          <w:szCs w:val="20"/>
        </w:rPr>
      </w:pPr>
      <w:r>
        <w:rPr>
          <w:rFonts w:ascii="Times New Roman" w:cs="Times New Roman" w:hAnsi="Times New Roman"/>
          <w:sz w:val="20"/>
          <w:szCs w:val="20"/>
        </w:rPr>
        <w:t>Data were presented as frequencies, percentages, means, and standard deviations to summarize the demographic and clinical characteristics of participants. The prevalence of liver dysfunction, indicated by elevated liver enzyme levels (ALT, AST, and ALP), was calculated with 95% confidence intervals. Significant differences in liver enzyme</w:t>
      </w:r>
    </w:p>
    <w:p>
      <w:pPr>
        <w:pStyle w:val="style0"/>
        <w:jc w:val="both"/>
        <w:rPr>
          <w:rFonts w:ascii="Times New Roman" w:cs="Times New Roman" w:hAnsi="Times New Roman"/>
          <w:sz w:val="20"/>
          <w:szCs w:val="20"/>
        </w:rPr>
        <w:sectPr>
          <w:type w:val="continuous"/>
          <w:pgSz w:w="12240" w:h="15840" w:orient="portrait"/>
          <w:pgMar w:top="1440" w:right="1440" w:bottom="1440" w:left="1440" w:header="708" w:footer="708" w:gutter="0"/>
          <w:cols w:space="708" w:num="2"/>
          <w:docGrid w:linePitch="360"/>
        </w:sectPr>
      </w:pPr>
      <w:r>
        <w:rPr>
          <w:rFonts w:ascii="Times New Roman" w:cs="Times New Roman" w:hAnsi="Times New Roman"/>
          <w:sz w:val="20"/>
          <w:szCs w:val="20"/>
        </w:rPr>
        <w:t xml:space="preserve">levels across HIV infection stages, based on CD4 count, were assessed using Analysis of Variance (ANOVA) or the </w:t>
      </w:r>
      <w:r>
        <w:rPr>
          <w:rFonts w:ascii="Times New Roman" w:cs="Times New Roman" w:hAnsi="Times New Roman"/>
          <w:sz w:val="20"/>
          <w:szCs w:val="20"/>
        </w:rPr>
        <w:t>Kruskal</w:t>
      </w:r>
      <w:r>
        <w:rPr>
          <w:rFonts w:ascii="Times New Roman" w:cs="Times New Roman" w:hAnsi="Times New Roman"/>
          <w:sz w:val="20"/>
          <w:szCs w:val="20"/>
        </w:rPr>
        <w:t xml:space="preserve">-Wallis test. Descriptive statistics provided an overview of enzyme levels, </w:t>
      </w:r>
      <w:r>
        <w:rPr>
          <w:rFonts w:ascii="Times New Roman" w:cs="Times New Roman" w:hAnsi="Times New Roman"/>
          <w:sz w:val="20"/>
          <w:szCs w:val="20"/>
        </w:rPr>
        <w:t xml:space="preserve">while one-way ANOVA compared mean levels among different HIV stages. Correlation coefficients were calculated to evaluate relationships between liver </w:t>
      </w:r>
      <w:r>
        <w:rPr>
          <w:rFonts w:ascii="Times New Roman" w:cs="Times New Roman" w:hAnsi="Times New Roman"/>
          <w:sz w:val="20"/>
          <w:szCs w:val="20"/>
        </w:rPr>
        <w:t>enzyme levels and clinical characteristics, facilitating a robust statistical analysis.</w:t>
      </w:r>
    </w:p>
    <w:p>
      <w:pPr>
        <w:pStyle w:val="style0"/>
        <w:jc w:val="both"/>
        <w:rPr>
          <w:rFonts w:ascii="Times New Roman" w:cs="Times New Roman" w:hAnsi="Times New Roman"/>
          <w:sz w:val="20"/>
          <w:szCs w:val="20"/>
        </w:rPr>
      </w:pPr>
    </w:p>
    <w:bookmarkStart w:id="0" w:name="_Hlk179964840"/>
    <w:tbl>
      <w:tblPr>
        <w:tblW w:w="8665" w:type="dxa"/>
        <w:tblLook w:val="04A0" w:firstRow="1" w:lastRow="0" w:firstColumn="1" w:lastColumn="0" w:noHBand="0" w:noVBand="1"/>
      </w:tblPr>
      <w:tblGrid>
        <w:gridCol w:w="5717"/>
        <w:gridCol w:w="1386"/>
        <w:gridCol w:w="1562"/>
      </w:tblGrid>
      <w:tr>
        <w:trPr>
          <w:trHeight w:val="511" w:hRule="atLeast"/>
        </w:trPr>
        <w:tc>
          <w:tcPr>
            <w:tcW w:w="5717" w:type="dxa"/>
            <w:vMerge w:val="restart"/>
            <w:tcBorders>
              <w:top w:val="single" w:sz="4" w:space="0" w:color="auto"/>
              <w:bottom w:val="single" w:sz="4" w:space="0" w:color="auto"/>
            </w:tcBorders>
            <w:tcMar>
              <w:top w:w="0" w:type="dxa"/>
              <w:left w:w="108" w:type="dxa"/>
              <w:bottom w:w="0" w:type="dxa"/>
              <w:right w:w="108" w:type="dxa"/>
            </w:tcMar>
          </w:tcPr>
          <w:p>
            <w:pPr>
              <w:pStyle w:val="style0"/>
              <w:spacing w:lineRule="auto" w:line="276"/>
              <w:rPr>
                <w:sz w:val="20"/>
                <w:szCs w:val="20"/>
              </w:rPr>
            </w:pPr>
            <w:r>
              <w:rPr>
                <w:rFonts w:ascii="Times New Roman" w:cs="Times New Roman" w:eastAsia="Calibri" w:hAnsi="Times New Roman"/>
                <w:b/>
                <w:bCs/>
                <w:kern w:val="2"/>
                <w:sz w:val="20"/>
                <w:szCs w:val="20"/>
              </w:rPr>
              <w:t>HIV Patients</w:t>
            </w:r>
          </w:p>
          <w:p>
            <w:pPr>
              <w:pStyle w:val="style0"/>
              <w:spacing w:lineRule="auto" w:line="276"/>
              <w:rPr>
                <w:sz w:val="20"/>
                <w:szCs w:val="20"/>
              </w:rPr>
            </w:pPr>
            <w:r>
              <w:rPr>
                <w:rFonts w:ascii="Times New Roman" w:cs="Times New Roman" w:eastAsia="Calibri" w:hAnsi="Times New Roman"/>
                <w:b/>
                <w:bCs/>
                <w:kern w:val="2"/>
                <w:sz w:val="20"/>
                <w:szCs w:val="20"/>
              </w:rPr>
              <w:t>(n=150)</w:t>
            </w:r>
          </w:p>
        </w:tc>
        <w:tc>
          <w:tcPr>
            <w:tcW w:w="2948" w:type="dxa"/>
            <w:gridSpan w:val="2"/>
            <w:tcBorders>
              <w:top w:val="single" w:sz="4" w:space="0" w:color="auto"/>
              <w:bottom w:val="single" w:sz="4" w:space="0" w:color="auto"/>
            </w:tcBorders>
            <w:shd w:val="clear" w:color="ffffff" w:fill="auto"/>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b/>
                <w:bCs/>
                <w:kern w:val="2"/>
                <w:sz w:val="24"/>
                <w:szCs w:val="24"/>
              </w:rPr>
              <w:t>Prevalence</w:t>
            </w:r>
          </w:p>
        </w:tc>
      </w:tr>
      <w:tr>
        <w:tblPrEx/>
        <w:trPr>
          <w:trHeight w:val="419" w:hRule="atLeast"/>
        </w:trPr>
        <w:tc>
          <w:tcPr>
            <w:tcW w:w="5717" w:type="dxa"/>
            <w:vMerge w:val="continue"/>
            <w:tcBorders>
              <w:top w:val="single" w:sz="4" w:space="0" w:color="auto"/>
              <w:bottom w:val="single" w:sz="4" w:space="0" w:color="auto"/>
            </w:tcBorders>
            <w:tcMar/>
          </w:tcPr>
          <w:p>
            <w:pPr>
              <w:pStyle w:val="style0"/>
              <w:spacing w:lineRule="auto" w:line="276"/>
              <w:rPr>
                <w:sz w:val="20"/>
                <w:szCs w:val="20"/>
              </w:rPr>
            </w:pPr>
          </w:p>
        </w:tc>
        <w:tc>
          <w:tcPr>
            <w:tcW w:w="1386" w:type="dxa"/>
            <w:tcBorders>
              <w:top w:val="single" w:sz="4" w:space="0" w:color="auto"/>
              <w:bottom w:val="single" w:sz="4" w:space="0" w:color="auto"/>
            </w:tcBorders>
            <w:shd w:val="clear" w:color="ffffff" w:fill="auto"/>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b/>
                <w:bCs/>
                <w:kern w:val="2"/>
                <w:sz w:val="24"/>
                <w:szCs w:val="24"/>
              </w:rPr>
              <w:t>N</w:t>
            </w:r>
          </w:p>
        </w:tc>
        <w:tc>
          <w:tcPr>
            <w:tcW w:w="1562" w:type="dxa"/>
            <w:tcBorders>
              <w:top w:val="single" w:sz="4" w:space="0" w:color="auto"/>
              <w:bottom w:val="single" w:sz="4" w:space="0" w:color="auto"/>
            </w:tcBorders>
            <w:shd w:val="clear" w:color="ffffff" w:fill="auto"/>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b/>
                <w:bCs/>
                <w:kern w:val="2"/>
                <w:sz w:val="24"/>
                <w:szCs w:val="24"/>
              </w:rPr>
              <w:t>%</w:t>
            </w:r>
          </w:p>
        </w:tc>
      </w:tr>
      <w:tr>
        <w:tblPrEx/>
        <w:trPr>
          <w:trHeight w:val="602" w:hRule="atLeast"/>
        </w:trPr>
        <w:tc>
          <w:tcPr>
            <w:tcW w:w="5717" w:type="dxa"/>
            <w:tcBorders>
              <w:top w:val="single" w:sz="4" w:space="0" w:color="auto"/>
            </w:tcBorders>
            <w:tcMar>
              <w:top w:w="0" w:type="dxa"/>
              <w:left w:w="108" w:type="dxa"/>
              <w:bottom w:w="0" w:type="dxa"/>
              <w:right w:w="108" w:type="dxa"/>
            </w:tcMar>
          </w:tcPr>
          <w:p>
            <w:pPr>
              <w:pStyle w:val="style0"/>
              <w:spacing w:lineRule="auto" w:line="276"/>
              <w:ind w:left="179"/>
              <w:rPr>
                <w:sz w:val="20"/>
                <w:szCs w:val="20"/>
              </w:rPr>
            </w:pPr>
            <w:r>
              <w:rPr>
                <w:rFonts w:ascii="Times New Roman" w:cs="Times New Roman" w:eastAsia="Calibri" w:hAnsi="Times New Roman"/>
                <w:kern w:val="2"/>
                <w:sz w:val="20"/>
                <w:szCs w:val="20"/>
              </w:rPr>
              <w:t>Liver dysfunction</w:t>
            </w:r>
          </w:p>
          <w:p>
            <w:pPr>
              <w:pStyle w:val="style0"/>
              <w:spacing w:lineRule="auto" w:line="276"/>
              <w:ind w:left="179"/>
              <w:rPr>
                <w:sz w:val="20"/>
                <w:szCs w:val="20"/>
              </w:rPr>
            </w:pPr>
            <w:r>
              <w:rPr>
                <w:rFonts w:ascii="Times New Roman" w:cs="Times New Roman" w:eastAsia="Calibri" w:hAnsi="Times New Roman"/>
                <w:kern w:val="2"/>
                <w:sz w:val="20"/>
                <w:szCs w:val="20"/>
              </w:rPr>
              <w:t>AST dysfunction</w:t>
            </w:r>
          </w:p>
          <w:p>
            <w:pPr>
              <w:pStyle w:val="style0"/>
              <w:spacing w:lineRule="auto" w:line="276"/>
              <w:ind w:left="179"/>
              <w:rPr>
                <w:sz w:val="20"/>
                <w:szCs w:val="20"/>
              </w:rPr>
            </w:pPr>
            <w:r>
              <w:rPr>
                <w:rFonts w:ascii="Times New Roman" w:cs="Times New Roman" w:eastAsia="Calibri" w:hAnsi="Times New Roman"/>
                <w:kern w:val="2"/>
                <w:sz w:val="20"/>
                <w:szCs w:val="20"/>
              </w:rPr>
              <w:t>ALP dysfunction</w:t>
            </w:r>
          </w:p>
          <w:p>
            <w:pPr>
              <w:pStyle w:val="style0"/>
              <w:spacing w:lineRule="auto" w:line="276"/>
              <w:ind w:left="179"/>
              <w:rPr>
                <w:sz w:val="20"/>
                <w:szCs w:val="20"/>
              </w:rPr>
            </w:pPr>
            <w:r>
              <w:rPr>
                <w:rFonts w:ascii="Times New Roman" w:cs="Times New Roman" w:eastAsia="Calibri" w:hAnsi="Times New Roman"/>
                <w:kern w:val="2"/>
                <w:sz w:val="20"/>
                <w:szCs w:val="20"/>
              </w:rPr>
              <w:t>ALT dysfunction</w:t>
            </w:r>
          </w:p>
        </w:tc>
        <w:tc>
          <w:tcPr>
            <w:tcW w:w="1386" w:type="dxa"/>
            <w:tcBorders>
              <w:top w:val="single" w:sz="4" w:space="0" w:color="auto"/>
            </w:tcBorders>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kern w:val="2"/>
                <w:sz w:val="24"/>
                <w:szCs w:val="24"/>
              </w:rPr>
              <w:t>37</w:t>
            </w:r>
          </w:p>
          <w:p>
            <w:pPr>
              <w:pStyle w:val="style0"/>
              <w:spacing w:lineRule="auto" w:line="276"/>
              <w:jc w:val="center"/>
              <w:rPr>
                <w:sz w:val="48"/>
                <w:szCs w:val="48"/>
              </w:rPr>
            </w:pPr>
            <w:r>
              <w:rPr>
                <w:rFonts w:ascii="Times New Roman" w:cs="Times New Roman" w:eastAsia="Calibri" w:hAnsi="Times New Roman"/>
                <w:kern w:val="2"/>
                <w:sz w:val="24"/>
                <w:szCs w:val="24"/>
              </w:rPr>
              <w:t>32</w:t>
            </w:r>
          </w:p>
          <w:p>
            <w:pPr>
              <w:pStyle w:val="style0"/>
              <w:spacing w:lineRule="auto" w:line="276"/>
              <w:jc w:val="center"/>
              <w:rPr>
                <w:sz w:val="48"/>
                <w:szCs w:val="48"/>
              </w:rPr>
            </w:pPr>
            <w:r>
              <w:rPr>
                <w:rFonts w:ascii="Times New Roman" w:cs="Times New Roman" w:eastAsia="Calibri" w:hAnsi="Times New Roman"/>
                <w:kern w:val="2"/>
                <w:sz w:val="24"/>
                <w:szCs w:val="24"/>
              </w:rPr>
              <w:t>5</w:t>
            </w:r>
          </w:p>
          <w:p>
            <w:pPr>
              <w:pStyle w:val="style0"/>
              <w:spacing w:lineRule="auto" w:line="276"/>
              <w:jc w:val="center"/>
              <w:rPr>
                <w:sz w:val="48"/>
                <w:szCs w:val="48"/>
              </w:rPr>
            </w:pPr>
            <w:r>
              <w:rPr>
                <w:rFonts w:ascii="Times New Roman" w:cs="Times New Roman" w:eastAsia="Calibri" w:hAnsi="Times New Roman"/>
                <w:kern w:val="2"/>
                <w:sz w:val="24"/>
                <w:szCs w:val="24"/>
              </w:rPr>
              <w:t>1</w:t>
            </w:r>
          </w:p>
        </w:tc>
        <w:tc>
          <w:tcPr>
            <w:tcW w:w="1562" w:type="dxa"/>
            <w:tcBorders>
              <w:top w:val="single" w:sz="4" w:space="0" w:color="auto"/>
            </w:tcBorders>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kern w:val="2"/>
                <w:sz w:val="24"/>
                <w:szCs w:val="24"/>
              </w:rPr>
              <w:t>24.7</w:t>
            </w:r>
          </w:p>
          <w:p>
            <w:pPr>
              <w:pStyle w:val="style0"/>
              <w:spacing w:lineRule="auto" w:line="276"/>
              <w:jc w:val="center"/>
              <w:rPr>
                <w:sz w:val="48"/>
                <w:szCs w:val="48"/>
              </w:rPr>
            </w:pPr>
            <w:r>
              <w:rPr>
                <w:rFonts w:ascii="Times New Roman" w:cs="Times New Roman" w:eastAsia="Calibri" w:hAnsi="Times New Roman"/>
                <w:kern w:val="2"/>
                <w:sz w:val="24"/>
                <w:szCs w:val="24"/>
              </w:rPr>
              <w:t>86.5</w:t>
            </w:r>
          </w:p>
          <w:p>
            <w:pPr>
              <w:pStyle w:val="style0"/>
              <w:spacing w:lineRule="auto" w:line="276"/>
              <w:jc w:val="center"/>
              <w:rPr>
                <w:sz w:val="48"/>
                <w:szCs w:val="48"/>
              </w:rPr>
            </w:pPr>
            <w:r>
              <w:rPr>
                <w:rFonts w:ascii="Times New Roman" w:cs="Times New Roman" w:eastAsia="Calibri" w:hAnsi="Times New Roman"/>
                <w:kern w:val="2"/>
                <w:sz w:val="24"/>
                <w:szCs w:val="24"/>
              </w:rPr>
              <w:t>13.5</w:t>
            </w:r>
          </w:p>
          <w:p>
            <w:pPr>
              <w:pStyle w:val="style0"/>
              <w:spacing w:lineRule="auto" w:line="276"/>
              <w:jc w:val="center"/>
              <w:rPr>
                <w:sz w:val="48"/>
                <w:szCs w:val="48"/>
              </w:rPr>
            </w:pPr>
            <w:r>
              <w:rPr>
                <w:rFonts w:ascii="Times New Roman" w:cs="Times New Roman" w:eastAsia="Calibri" w:hAnsi="Times New Roman"/>
                <w:kern w:val="2"/>
                <w:sz w:val="24"/>
                <w:szCs w:val="24"/>
              </w:rPr>
              <w:t>2.7</w:t>
            </w:r>
          </w:p>
        </w:tc>
      </w:tr>
      <w:tr>
        <w:tblPrEx/>
        <w:trPr>
          <w:trHeight w:val="602" w:hRule="atLeast"/>
        </w:trPr>
        <w:tc>
          <w:tcPr>
            <w:tcW w:w="5717" w:type="dxa"/>
            <w:tcBorders>
              <w:bottom w:val="single" w:sz="4" w:space="0" w:color="auto"/>
            </w:tcBorders>
            <w:tcMar>
              <w:top w:w="0" w:type="dxa"/>
              <w:left w:w="108" w:type="dxa"/>
              <w:bottom w:w="0" w:type="dxa"/>
              <w:right w:w="108" w:type="dxa"/>
            </w:tcMar>
          </w:tcPr>
          <w:p>
            <w:pPr>
              <w:pStyle w:val="style0"/>
              <w:spacing w:lineRule="auto" w:line="276"/>
              <w:rPr>
                <w:sz w:val="20"/>
                <w:szCs w:val="20"/>
              </w:rPr>
            </w:pPr>
            <w:r>
              <w:rPr>
                <w:rFonts w:ascii="Times New Roman" w:cs="Times New Roman" w:eastAsia="Calibri" w:hAnsi="Times New Roman"/>
                <w:kern w:val="2"/>
                <w:sz w:val="20"/>
                <w:szCs w:val="20"/>
              </w:rPr>
              <w:t>Normal liver function</w:t>
            </w:r>
          </w:p>
        </w:tc>
        <w:tc>
          <w:tcPr>
            <w:tcW w:w="1386" w:type="dxa"/>
            <w:tcBorders>
              <w:bottom w:val="single" w:sz="4" w:space="0" w:color="auto"/>
            </w:tcBorders>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kern w:val="2"/>
                <w:sz w:val="24"/>
                <w:szCs w:val="24"/>
              </w:rPr>
              <w:t>113</w:t>
            </w:r>
          </w:p>
        </w:tc>
        <w:tc>
          <w:tcPr>
            <w:tcW w:w="1562" w:type="dxa"/>
            <w:tcBorders>
              <w:bottom w:val="single" w:sz="4" w:space="0" w:color="auto"/>
            </w:tcBorders>
            <w:tcMar>
              <w:top w:w="0" w:type="dxa"/>
              <w:left w:w="108" w:type="dxa"/>
              <w:bottom w:w="0" w:type="dxa"/>
              <w:right w:w="108" w:type="dxa"/>
            </w:tcMar>
          </w:tcPr>
          <w:p>
            <w:pPr>
              <w:pStyle w:val="style0"/>
              <w:spacing w:lineRule="auto" w:line="276"/>
              <w:jc w:val="center"/>
              <w:rPr>
                <w:sz w:val="48"/>
                <w:szCs w:val="48"/>
              </w:rPr>
            </w:pPr>
            <w:r>
              <w:rPr>
                <w:rFonts w:ascii="Times New Roman" w:cs="Times New Roman" w:eastAsia="Calibri" w:hAnsi="Times New Roman"/>
                <w:kern w:val="2"/>
                <w:sz w:val="24"/>
                <w:szCs w:val="24"/>
              </w:rPr>
              <w:t>75.3</w:t>
            </w:r>
            <w:bookmarkEnd w:id="0"/>
          </w:p>
        </w:tc>
      </w:tr>
    </w:tbl>
    <w:p>
      <w:pPr>
        <w:pStyle w:val="style0"/>
        <w:rPr>
          <w:rFonts w:ascii="Times New Roman" w:cs="Times New Roman" w:hAnsi="Times New Roman"/>
          <w:b/>
          <w:sz w:val="20"/>
          <w:szCs w:val="20"/>
        </w:rPr>
      </w:pPr>
      <w:r>
        <w:rPr>
          <w:rFonts w:ascii="Times New Roman" w:cs="Times New Roman" w:hAnsi="Times New Roman"/>
          <w:b/>
          <w:sz w:val="20"/>
          <w:szCs w:val="20"/>
        </w:rPr>
        <w:t xml:space="preserve">Table </w:t>
      </w:r>
      <w:r>
        <w:rPr>
          <w:rFonts w:ascii="Times New Roman" w:cs="Times New Roman" w:hAnsi="Times New Roman"/>
          <w:b/>
          <w:sz w:val="20"/>
          <w:szCs w:val="20"/>
        </w:rPr>
        <w:t>1: Prevalence of liver dysfunction among HIV-positive patients attending the ESUT Teaching Hospital</w:t>
      </w: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tbl>
      <w:tblPr>
        <w:tblW w:w="9360" w:type="dxa"/>
        <w:tblLook w:val="04A0" w:firstRow="1" w:lastRow="0" w:firstColumn="1" w:lastColumn="0" w:noHBand="0" w:noVBand="1"/>
      </w:tblPr>
      <w:tblGrid>
        <w:gridCol w:w="3119"/>
        <w:gridCol w:w="3120"/>
        <w:gridCol w:w="3121"/>
      </w:tblGrid>
      <w:tr>
        <w:trPr>
          <w:trHeight w:val="467" w:hRule="atLeast"/>
        </w:trPr>
        <w:tc>
          <w:tcPr>
            <w:tcW w:w="6239" w:type="dxa"/>
            <w:gridSpan w:val="2"/>
            <w:tcBorders>
              <w:top w:val="single" w:sz="8" w:space="0" w:color="auto"/>
              <w:bottom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b/>
                <w:bCs/>
                <w:kern w:val="2"/>
                <w:sz w:val="20"/>
                <w:szCs w:val="20"/>
              </w:rPr>
              <w:t>Characteristics</w:t>
            </w:r>
          </w:p>
        </w:tc>
        <w:tc>
          <w:tcPr>
            <w:tcW w:w="3121" w:type="dxa"/>
            <w:tcBorders>
              <w:top w:val="single" w:sz="8" w:space="0" w:color="auto"/>
              <w:bottom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b/>
                <w:bCs/>
                <w:kern w:val="2"/>
                <w:sz w:val="20"/>
                <w:szCs w:val="20"/>
              </w:rPr>
              <w:t>N (%)</w:t>
            </w:r>
          </w:p>
        </w:tc>
      </w:tr>
      <w:tr>
        <w:tblPrEx/>
        <w:trPr>
          <w:trHeight w:val="484" w:hRule="atLeast"/>
        </w:trPr>
        <w:tc>
          <w:tcPr>
            <w:tcW w:w="3119" w:type="dxa"/>
            <w:vMerge w:val="restart"/>
            <w:tcBorders>
              <w:top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Age range</w:t>
            </w:r>
          </w:p>
        </w:tc>
        <w:tc>
          <w:tcPr>
            <w:tcW w:w="3120" w:type="dxa"/>
            <w:tcBorders>
              <w:top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18-30years</w:t>
            </w:r>
          </w:p>
        </w:tc>
        <w:tc>
          <w:tcPr>
            <w:tcW w:w="3121" w:type="dxa"/>
            <w:tcBorders>
              <w:top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30 (20.0)</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31-45years</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41 (27.3)</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46-60years</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45 (30.0)</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&gt;60years</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34 (22.7)</w:t>
            </w:r>
          </w:p>
        </w:tc>
      </w:tr>
      <w:tr>
        <w:tblPrEx/>
        <w:trPr>
          <w:trHeight w:val="484" w:hRule="atLeast"/>
        </w:trPr>
        <w:tc>
          <w:tcPr>
            <w:tcW w:w="3119" w:type="dxa"/>
            <w:vMerge w:val="restart"/>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Gender</w:t>
            </w: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Male</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64 (42.7)</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Female</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86 (57.3)</w:t>
            </w:r>
          </w:p>
        </w:tc>
      </w:tr>
      <w:tr>
        <w:tblPrEx/>
        <w:trPr>
          <w:trHeight w:val="467" w:hRule="atLeast"/>
        </w:trPr>
        <w:tc>
          <w:tcPr>
            <w:tcW w:w="3119" w:type="dxa"/>
            <w:vMerge w:val="restart"/>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Educational qualification</w:t>
            </w: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Primary school</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 xml:space="preserve">40 (26.7) </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Secondary school</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51 (34.0)</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Tertiary school</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35 (23.3)</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No formal education</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24 (16.0)</w:t>
            </w:r>
          </w:p>
        </w:tc>
      </w:tr>
      <w:tr>
        <w:tblPrEx/>
        <w:trPr>
          <w:trHeight w:val="467" w:hRule="atLeast"/>
        </w:trPr>
        <w:tc>
          <w:tcPr>
            <w:tcW w:w="3119" w:type="dxa"/>
            <w:vMerge w:val="restart"/>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 xml:space="preserve">Occupation </w:t>
            </w: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Formal employment</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35 (23.0)</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Self-employment</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56 (36.8)</w:t>
            </w:r>
          </w:p>
        </w:tc>
      </w:tr>
      <w:tr>
        <w:tblPrEx/>
        <w:trPr>
          <w:trHeight w:val="166" w:hRule="atLeast"/>
        </w:trPr>
        <w:tc>
          <w:tcPr>
            <w:tcW w:w="3119" w:type="dxa"/>
            <w:vMerge w:val="continue"/>
            <w:tcBorders/>
            <w:tcMar/>
          </w:tcPr>
          <w:p>
            <w:pPr>
              <w:pStyle w:val="style0"/>
              <w:spacing w:lineRule="auto" w:line="360"/>
              <w:jc w:val="both"/>
              <w:rPr>
                <w:sz w:val="20"/>
                <w:szCs w:val="20"/>
              </w:rPr>
            </w:pPr>
          </w:p>
        </w:tc>
        <w:tc>
          <w:tcPr>
            <w:tcW w:w="3120"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Non employment</w:t>
            </w:r>
          </w:p>
        </w:tc>
        <w:tc>
          <w:tcPr>
            <w:tcW w:w="3121"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61 (40.1)</w:t>
            </w:r>
          </w:p>
        </w:tc>
      </w:tr>
      <w:tr>
        <w:tblPrEx/>
        <w:trPr>
          <w:trHeight w:val="166" w:hRule="atLeast"/>
        </w:trPr>
        <w:tc>
          <w:tcPr>
            <w:tcW w:w="6239" w:type="dxa"/>
            <w:gridSpan w:val="2"/>
            <w:tcBorders>
              <w:bottom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Total</w:t>
            </w:r>
          </w:p>
        </w:tc>
        <w:tc>
          <w:tcPr>
            <w:tcW w:w="3121" w:type="dxa"/>
            <w:tcBorders>
              <w:bottom w:val="single" w:sz="8"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kern w:val="2"/>
                <w:sz w:val="20"/>
                <w:szCs w:val="20"/>
              </w:rPr>
              <w:t>150 (100.0)</w:t>
            </w:r>
          </w:p>
        </w:tc>
      </w:tr>
    </w:tbl>
    <w:p>
      <w:pPr>
        <w:pStyle w:val="style0"/>
        <w:spacing w:lineRule="auto" w:line="360"/>
        <w:jc w:val="both"/>
        <w:rPr>
          <w:rFonts w:ascii="Times New Roman" w:cs="Times New Roman" w:eastAsia="Calibri" w:hAnsi="Times New Roman"/>
          <w:b/>
          <w:bCs/>
          <w:kern w:val="2"/>
          <w:sz w:val="20"/>
          <w:szCs w:val="20"/>
        </w:rPr>
      </w:pPr>
      <w:r>
        <w:rPr>
          <w:rFonts w:ascii="Times New Roman" w:cs="Times New Roman" w:eastAsia="Calibri" w:hAnsi="Times New Roman"/>
          <w:b/>
          <w:bCs/>
          <w:kern w:val="2"/>
          <w:sz w:val="20"/>
          <w:szCs w:val="20"/>
        </w:rPr>
        <w:t xml:space="preserve">Table </w:t>
      </w:r>
      <w:r>
        <w:rPr>
          <w:rFonts w:ascii="Times New Roman" w:cs="Times New Roman" w:eastAsia="Calibri" w:hAnsi="Times New Roman"/>
          <w:b/>
          <w:bCs/>
          <w:kern w:val="2"/>
          <w:sz w:val="20"/>
          <w:szCs w:val="20"/>
        </w:rPr>
        <w:t>2: Socio-demographic characteristics of respondents (HIV-positive patients attending the ESUT Teaching Hospital)</w:t>
      </w:r>
    </w:p>
    <w:tbl>
      <w:tblPr>
        <w:tblpPr w:leftFromText="180" w:rightFromText="180" w:topFromText="0" w:bottomFromText="0" w:vertAnchor="text" w:horzAnchor="margin" w:tblpXSpec="center" w:tblpY="290"/>
        <w:tblW w:w="10490" w:type="dxa"/>
        <w:tblLook w:val="04A0" w:firstRow="1" w:lastRow="0" w:firstColumn="1" w:lastColumn="0" w:noHBand="0" w:noVBand="1"/>
      </w:tblPr>
      <w:tblGrid>
        <w:gridCol w:w="2948"/>
        <w:gridCol w:w="1493"/>
        <w:gridCol w:w="2101"/>
        <w:gridCol w:w="992"/>
        <w:gridCol w:w="1963"/>
        <w:gridCol w:w="993"/>
      </w:tblGrid>
      <w:tr>
        <w:trPr>
          <w:trHeight w:val="664" w:hRule="atLeast"/>
        </w:trPr>
        <w:tc>
          <w:tcPr>
            <w:tcW w:w="2948" w:type="dxa"/>
            <w:vMerge w:val="restart"/>
            <w:tcBorders>
              <w:top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Demographic factors</w:t>
            </w:r>
          </w:p>
        </w:tc>
        <w:tc>
          <w:tcPr>
            <w:tcW w:w="1493" w:type="dxa"/>
            <w:vMerge w:val="restart"/>
            <w:tcBorders>
              <w:top w:val="single" w:sz="4" w:space="0" w:color="auto"/>
            </w:tcBorders>
            <w:tcMar>
              <w:top w:w="0" w:type="dxa"/>
              <w:left w:w="108" w:type="dxa"/>
              <w:bottom w:w="0" w:type="dxa"/>
              <w:right w:w="108" w:type="dxa"/>
            </w:tcMar>
          </w:tcPr>
          <w:p>
            <w:pPr>
              <w:pStyle w:val="style0"/>
              <w:spacing w:lineRule="auto" w:line="360"/>
              <w:jc w:val="center"/>
              <w:rPr>
                <w:sz w:val="20"/>
                <w:szCs w:val="20"/>
              </w:rPr>
            </w:pPr>
            <w:r>
              <w:rPr>
                <w:rFonts w:ascii="Times New Roman" w:cs="Times New Roman" w:eastAsia="Calibri" w:hAnsi="Times New Roman"/>
                <w:b/>
                <w:bCs/>
                <w:kern w:val="2"/>
                <w:sz w:val="20"/>
                <w:szCs w:val="20"/>
              </w:rPr>
              <w:t>Prevalence</w:t>
            </w:r>
          </w:p>
          <w:p>
            <w:pPr>
              <w:pStyle w:val="style0"/>
              <w:spacing w:lineRule="auto" w:line="360"/>
              <w:jc w:val="center"/>
              <w:rPr>
                <w:sz w:val="20"/>
                <w:szCs w:val="20"/>
              </w:rPr>
            </w:pPr>
            <w:r>
              <w:rPr>
                <w:rFonts w:ascii="Times New Roman" w:cs="Times New Roman" w:eastAsia="Calibri" w:hAnsi="Times New Roman"/>
                <w:b/>
                <w:bCs/>
                <w:kern w:val="2"/>
                <w:sz w:val="20"/>
                <w:szCs w:val="20"/>
              </w:rPr>
              <w:t>of liver dysfunction</w:t>
            </w:r>
          </w:p>
        </w:tc>
        <w:tc>
          <w:tcPr>
            <w:tcW w:w="3093" w:type="dxa"/>
            <w:gridSpan w:val="2"/>
            <w:tcBorders>
              <w:top w:val="single" w:sz="4" w:space="0" w:color="auto"/>
            </w:tcBorders>
            <w:tcMar>
              <w:top w:w="0" w:type="dxa"/>
              <w:left w:w="108" w:type="dxa"/>
              <w:bottom w:w="0" w:type="dxa"/>
              <w:right w:w="108" w:type="dxa"/>
            </w:tcMar>
          </w:tcPr>
          <w:p>
            <w:pPr>
              <w:pStyle w:val="style0"/>
              <w:spacing w:lineRule="auto" w:line="360"/>
              <w:jc w:val="center"/>
              <w:rPr>
                <w:sz w:val="20"/>
                <w:szCs w:val="20"/>
              </w:rPr>
            </w:pPr>
            <w:r>
              <w:rPr>
                <w:rFonts w:ascii="Times New Roman" w:cs="Times New Roman" w:eastAsia="Calibri" w:hAnsi="Times New Roman"/>
                <w:b/>
                <w:bCs/>
                <w:kern w:val="2"/>
                <w:sz w:val="20"/>
                <w:szCs w:val="20"/>
              </w:rPr>
              <w:t>Univariate analysis</w:t>
            </w:r>
          </w:p>
        </w:tc>
        <w:tc>
          <w:tcPr>
            <w:tcW w:w="2956" w:type="dxa"/>
            <w:gridSpan w:val="2"/>
            <w:tcBorders>
              <w:top w:val="single" w:sz="4" w:space="0" w:color="auto"/>
            </w:tcBorders>
            <w:tcMar>
              <w:top w:w="0" w:type="dxa"/>
              <w:left w:w="108" w:type="dxa"/>
              <w:bottom w:w="0" w:type="dxa"/>
              <w:right w:w="108" w:type="dxa"/>
            </w:tcMar>
          </w:tcPr>
          <w:p>
            <w:pPr>
              <w:pStyle w:val="style0"/>
              <w:spacing w:lineRule="auto" w:line="360"/>
              <w:jc w:val="center"/>
              <w:rPr>
                <w:sz w:val="20"/>
                <w:szCs w:val="20"/>
              </w:rPr>
            </w:pPr>
            <w:r>
              <w:rPr>
                <w:rFonts w:ascii="Times New Roman" w:cs="Times New Roman" w:eastAsia="Calibri" w:hAnsi="Times New Roman"/>
                <w:b/>
                <w:bCs/>
                <w:kern w:val="2"/>
                <w:sz w:val="20"/>
                <w:szCs w:val="20"/>
              </w:rPr>
              <w:t>Multivariate analysis</w:t>
            </w:r>
          </w:p>
        </w:tc>
      </w:tr>
      <w:tr>
        <w:tblPrEx/>
        <w:trPr/>
        <w:tc>
          <w:tcPr>
            <w:tcW w:w="2948" w:type="dxa"/>
            <w:vMerge w:val="continue"/>
            <w:tcBorders>
              <w:bottom w:val="single" w:sz="4" w:space="0" w:color="auto"/>
            </w:tcBorders>
            <w:tcMar/>
          </w:tcPr>
          <w:p>
            <w:pPr>
              <w:pStyle w:val="style0"/>
              <w:spacing w:lineRule="auto" w:line="360"/>
              <w:rPr>
                <w:sz w:val="20"/>
                <w:szCs w:val="20"/>
              </w:rPr>
            </w:pPr>
          </w:p>
        </w:tc>
        <w:tc>
          <w:tcPr>
            <w:tcW w:w="1493" w:type="dxa"/>
            <w:vMerge w:val="continue"/>
            <w:tcBorders>
              <w:bottom w:val="single" w:sz="4" w:space="0" w:color="auto"/>
            </w:tcBorders>
            <w:tcMar/>
          </w:tcPr>
          <w:p>
            <w:pPr>
              <w:pStyle w:val="style0"/>
              <w:spacing w:lineRule="auto" w:line="360"/>
              <w:jc w:val="center"/>
              <w:rPr>
                <w:sz w:val="20"/>
                <w:szCs w:val="20"/>
              </w:rPr>
            </w:pPr>
          </w:p>
        </w:tc>
        <w:tc>
          <w:tcPr>
            <w:tcW w:w="2101" w:type="dxa"/>
            <w:tcBorders>
              <w:bottom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COR (95% CI)</w:t>
            </w:r>
          </w:p>
        </w:tc>
        <w:tc>
          <w:tcPr>
            <w:tcW w:w="992" w:type="dxa"/>
            <w:tcBorders>
              <w:bottom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p Value</w:t>
            </w:r>
          </w:p>
        </w:tc>
        <w:tc>
          <w:tcPr>
            <w:tcW w:w="1963" w:type="dxa"/>
            <w:tcBorders>
              <w:bottom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AOR (95% CI)</w:t>
            </w:r>
          </w:p>
        </w:tc>
        <w:tc>
          <w:tcPr>
            <w:tcW w:w="993" w:type="dxa"/>
            <w:tcBorders>
              <w:bottom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p Value</w:t>
            </w:r>
          </w:p>
        </w:tc>
      </w:tr>
      <w:tr>
        <w:tblPrEx/>
        <w:trPr>
          <w:trHeight w:val="1393" w:hRule="atLeast"/>
        </w:trPr>
        <w:tc>
          <w:tcPr>
            <w:tcW w:w="2948" w:type="dxa"/>
            <w:tcBorders>
              <w:top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Age group</w:t>
            </w:r>
          </w:p>
          <w:p>
            <w:pPr>
              <w:pStyle w:val="style0"/>
              <w:spacing w:lineRule="auto" w:line="360"/>
              <w:rPr>
                <w:sz w:val="20"/>
                <w:szCs w:val="20"/>
              </w:rPr>
            </w:pPr>
            <w:r>
              <w:rPr>
                <w:rFonts w:ascii="Times New Roman" w:cs="Times New Roman" w:eastAsia="Calibri" w:hAnsi="Times New Roman"/>
                <w:kern w:val="2"/>
                <w:sz w:val="20"/>
                <w:szCs w:val="20"/>
              </w:rPr>
              <w:t>18-30</w:t>
            </w:r>
          </w:p>
          <w:p>
            <w:pPr>
              <w:pStyle w:val="style0"/>
              <w:spacing w:lineRule="auto" w:line="360"/>
              <w:rPr>
                <w:sz w:val="20"/>
                <w:szCs w:val="20"/>
              </w:rPr>
            </w:pPr>
            <w:r>
              <w:rPr>
                <w:rFonts w:ascii="Times New Roman" w:cs="Times New Roman" w:eastAsia="Calibri" w:hAnsi="Times New Roman"/>
                <w:kern w:val="2"/>
                <w:sz w:val="20"/>
                <w:szCs w:val="20"/>
              </w:rPr>
              <w:t>31-45</w:t>
            </w:r>
          </w:p>
          <w:p>
            <w:pPr>
              <w:pStyle w:val="style0"/>
              <w:spacing w:lineRule="auto" w:line="360"/>
              <w:rPr>
                <w:sz w:val="20"/>
                <w:szCs w:val="20"/>
              </w:rPr>
            </w:pPr>
            <w:r>
              <w:rPr>
                <w:rFonts w:ascii="Times New Roman" w:cs="Times New Roman" w:eastAsia="Calibri" w:hAnsi="Times New Roman"/>
                <w:kern w:val="2"/>
                <w:sz w:val="20"/>
                <w:szCs w:val="20"/>
              </w:rPr>
              <w:t>45-60</w:t>
            </w:r>
          </w:p>
          <w:p>
            <w:pPr>
              <w:pStyle w:val="style0"/>
              <w:spacing w:lineRule="auto" w:line="360"/>
              <w:rPr>
                <w:sz w:val="20"/>
                <w:szCs w:val="20"/>
              </w:rPr>
            </w:pPr>
            <w:r>
              <w:rPr>
                <w:rFonts w:ascii="Times New Roman" w:cs="Times New Roman" w:eastAsia="Calibri" w:hAnsi="Times New Roman"/>
                <w:kern w:val="2"/>
                <w:sz w:val="20"/>
                <w:szCs w:val="20"/>
              </w:rPr>
              <w:t>&gt;60years</w:t>
            </w:r>
          </w:p>
        </w:tc>
        <w:tc>
          <w:tcPr>
            <w:tcW w:w="1493" w:type="dxa"/>
            <w:tcBorders>
              <w:top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5 (16.7)</w:t>
            </w:r>
          </w:p>
          <w:p>
            <w:pPr>
              <w:pStyle w:val="style0"/>
              <w:spacing w:lineRule="auto" w:line="360"/>
              <w:rPr>
                <w:sz w:val="20"/>
                <w:szCs w:val="20"/>
              </w:rPr>
            </w:pPr>
            <w:r>
              <w:rPr>
                <w:rFonts w:ascii="Times New Roman" w:cs="Times New Roman" w:eastAsia="Calibri" w:hAnsi="Times New Roman"/>
                <w:kern w:val="2"/>
                <w:sz w:val="20"/>
                <w:szCs w:val="20"/>
              </w:rPr>
              <w:t>10 (25.0)</w:t>
            </w:r>
          </w:p>
          <w:p>
            <w:pPr>
              <w:pStyle w:val="style0"/>
              <w:spacing w:lineRule="auto" w:line="360"/>
              <w:rPr>
                <w:sz w:val="20"/>
                <w:szCs w:val="20"/>
              </w:rPr>
            </w:pPr>
            <w:r>
              <w:rPr>
                <w:rFonts w:ascii="Times New Roman" w:cs="Times New Roman" w:eastAsia="Calibri" w:hAnsi="Times New Roman"/>
                <w:kern w:val="2"/>
                <w:sz w:val="20"/>
                <w:szCs w:val="20"/>
              </w:rPr>
              <w:t>12 (26.7)</w:t>
            </w:r>
          </w:p>
          <w:p>
            <w:pPr>
              <w:pStyle w:val="style0"/>
              <w:spacing w:lineRule="auto" w:line="360"/>
              <w:rPr>
                <w:sz w:val="20"/>
                <w:szCs w:val="20"/>
              </w:rPr>
            </w:pPr>
            <w:r>
              <w:rPr>
                <w:rFonts w:ascii="Times New Roman" w:cs="Times New Roman" w:eastAsia="Calibri" w:hAnsi="Times New Roman"/>
                <w:kern w:val="2"/>
                <w:sz w:val="20"/>
                <w:szCs w:val="20"/>
              </w:rPr>
              <w:t>10 (28.6)</w:t>
            </w:r>
          </w:p>
        </w:tc>
        <w:tc>
          <w:tcPr>
            <w:tcW w:w="2101" w:type="dxa"/>
            <w:tcBorders>
              <w:top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w:t>
            </w:r>
          </w:p>
          <w:p>
            <w:pPr>
              <w:pStyle w:val="style0"/>
              <w:spacing w:lineRule="auto" w:line="360"/>
              <w:rPr>
                <w:sz w:val="20"/>
                <w:szCs w:val="20"/>
              </w:rPr>
            </w:pPr>
            <w:r>
              <w:rPr>
                <w:rFonts w:ascii="Times New Roman" w:cs="Times New Roman" w:eastAsia="Calibri" w:hAnsi="Times New Roman"/>
                <w:kern w:val="2"/>
                <w:sz w:val="20"/>
                <w:szCs w:val="20"/>
              </w:rPr>
              <w:t>1.812 (0.927-3.624)</w:t>
            </w:r>
          </w:p>
          <w:p>
            <w:pPr>
              <w:pStyle w:val="style0"/>
              <w:spacing w:lineRule="auto" w:line="360"/>
              <w:rPr>
                <w:sz w:val="20"/>
                <w:szCs w:val="20"/>
              </w:rPr>
            </w:pPr>
            <w:r>
              <w:rPr>
                <w:rFonts w:ascii="Times New Roman" w:cs="Times New Roman" w:eastAsia="Calibri" w:hAnsi="Times New Roman"/>
                <w:kern w:val="2"/>
                <w:sz w:val="20"/>
                <w:szCs w:val="20"/>
              </w:rPr>
              <w:t>2.531 (1.306-4.842)</w:t>
            </w:r>
          </w:p>
          <w:p>
            <w:pPr>
              <w:pStyle w:val="style0"/>
              <w:spacing w:lineRule="auto" w:line="360"/>
              <w:rPr>
                <w:sz w:val="20"/>
                <w:szCs w:val="20"/>
              </w:rPr>
            </w:pPr>
            <w:r>
              <w:rPr>
                <w:rFonts w:ascii="Times New Roman" w:cs="Times New Roman" w:eastAsia="Calibri" w:hAnsi="Times New Roman"/>
                <w:kern w:val="2"/>
                <w:sz w:val="20"/>
                <w:szCs w:val="20"/>
              </w:rPr>
              <w:t>3.197 (1.783-5.861)</w:t>
            </w:r>
          </w:p>
        </w:tc>
        <w:tc>
          <w:tcPr>
            <w:tcW w:w="992" w:type="dxa"/>
            <w:tcBorders>
              <w:top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0.087</w:t>
            </w:r>
          </w:p>
          <w:p>
            <w:pPr>
              <w:pStyle w:val="style0"/>
              <w:spacing w:lineRule="auto" w:line="360"/>
              <w:rPr>
                <w:sz w:val="20"/>
                <w:szCs w:val="20"/>
              </w:rPr>
            </w:pPr>
            <w:r>
              <w:rPr>
                <w:rFonts w:ascii="Times New Roman" w:cs="Times New Roman" w:eastAsia="Calibri" w:hAnsi="Times New Roman"/>
                <w:kern w:val="2"/>
                <w:sz w:val="20"/>
                <w:szCs w:val="20"/>
              </w:rPr>
              <w:t>0.007</w:t>
            </w:r>
          </w:p>
          <w:p>
            <w:pPr>
              <w:pStyle w:val="style0"/>
              <w:spacing w:lineRule="auto" w:line="360"/>
              <w:rPr>
                <w:sz w:val="20"/>
                <w:szCs w:val="20"/>
              </w:rPr>
            </w:pPr>
            <w:r>
              <w:rPr>
                <w:rFonts w:ascii="Times New Roman" w:cs="Times New Roman" w:eastAsia="Calibri" w:hAnsi="Times New Roman"/>
                <w:kern w:val="2"/>
                <w:sz w:val="20"/>
                <w:szCs w:val="20"/>
              </w:rPr>
              <w:t>0.002</w:t>
            </w:r>
          </w:p>
        </w:tc>
        <w:tc>
          <w:tcPr>
            <w:tcW w:w="1963" w:type="dxa"/>
            <w:tcBorders>
              <w:top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w:t>
            </w:r>
          </w:p>
          <w:p>
            <w:pPr>
              <w:pStyle w:val="style0"/>
              <w:spacing w:lineRule="auto" w:line="360"/>
              <w:rPr>
                <w:sz w:val="20"/>
                <w:szCs w:val="20"/>
              </w:rPr>
            </w:pPr>
            <w:r>
              <w:rPr>
                <w:rFonts w:ascii="Times New Roman" w:cs="Times New Roman" w:eastAsia="Calibri" w:hAnsi="Times New Roman"/>
                <w:kern w:val="2"/>
                <w:sz w:val="20"/>
                <w:szCs w:val="20"/>
              </w:rPr>
              <w:t>1.677 (0.822-3.217)</w:t>
            </w:r>
          </w:p>
          <w:p>
            <w:pPr>
              <w:pStyle w:val="style0"/>
              <w:spacing w:lineRule="auto" w:line="360"/>
              <w:rPr>
                <w:sz w:val="20"/>
                <w:szCs w:val="20"/>
              </w:rPr>
            </w:pPr>
            <w:r>
              <w:rPr>
                <w:rFonts w:ascii="Times New Roman" w:cs="Times New Roman" w:eastAsia="Calibri" w:hAnsi="Times New Roman"/>
                <w:kern w:val="2"/>
                <w:sz w:val="20"/>
                <w:szCs w:val="20"/>
              </w:rPr>
              <w:t>2.163 (0.952-4.568)</w:t>
            </w:r>
          </w:p>
          <w:p>
            <w:pPr>
              <w:pStyle w:val="style0"/>
              <w:spacing w:lineRule="auto" w:line="360"/>
              <w:rPr>
                <w:sz w:val="20"/>
                <w:szCs w:val="20"/>
              </w:rPr>
            </w:pPr>
            <w:r>
              <w:rPr>
                <w:rFonts w:ascii="Times New Roman" w:cs="Times New Roman" w:eastAsia="Calibri" w:hAnsi="Times New Roman"/>
                <w:kern w:val="2"/>
                <w:sz w:val="20"/>
                <w:szCs w:val="20"/>
              </w:rPr>
              <w:t>2.823 (1.211-6.413)</w:t>
            </w:r>
          </w:p>
          <w:p>
            <w:pPr>
              <w:pStyle w:val="style0"/>
              <w:spacing w:lineRule="auto" w:line="360"/>
              <w:rPr>
                <w:sz w:val="20"/>
                <w:szCs w:val="20"/>
              </w:rPr>
            </w:pPr>
          </w:p>
        </w:tc>
        <w:tc>
          <w:tcPr>
            <w:tcW w:w="993" w:type="dxa"/>
            <w:tcBorders>
              <w:top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0.191</w:t>
            </w:r>
          </w:p>
          <w:p>
            <w:pPr>
              <w:pStyle w:val="style0"/>
              <w:spacing w:lineRule="auto" w:line="360"/>
              <w:rPr>
                <w:sz w:val="20"/>
                <w:szCs w:val="20"/>
              </w:rPr>
            </w:pPr>
            <w:r>
              <w:rPr>
                <w:rFonts w:ascii="Times New Roman" w:cs="Times New Roman" w:eastAsia="Calibri" w:hAnsi="Times New Roman"/>
                <w:kern w:val="2"/>
                <w:sz w:val="20"/>
                <w:szCs w:val="20"/>
              </w:rPr>
              <w:t>0.068</w:t>
            </w:r>
          </w:p>
          <w:p>
            <w:pPr>
              <w:pStyle w:val="style0"/>
              <w:spacing w:lineRule="auto" w:line="360"/>
              <w:rPr>
                <w:sz w:val="20"/>
                <w:szCs w:val="20"/>
              </w:rPr>
            </w:pPr>
            <w:r>
              <w:rPr>
                <w:rFonts w:ascii="Times New Roman" w:cs="Times New Roman" w:eastAsia="Calibri" w:hAnsi="Times New Roman"/>
                <w:kern w:val="2"/>
                <w:sz w:val="20"/>
                <w:szCs w:val="20"/>
              </w:rPr>
              <w:t>0.014</w:t>
            </w:r>
          </w:p>
        </w:tc>
      </w:tr>
      <w:tr>
        <w:tblPrEx/>
        <w:trPr>
          <w:trHeight w:val="1092" w:hRule="atLeast"/>
        </w:trPr>
        <w:tc>
          <w:tcPr>
            <w:tcW w:w="2948" w:type="dxa"/>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Gender</w:t>
            </w:r>
          </w:p>
          <w:p>
            <w:pPr>
              <w:pStyle w:val="style0"/>
              <w:spacing w:lineRule="auto" w:line="360"/>
              <w:rPr>
                <w:sz w:val="20"/>
                <w:szCs w:val="20"/>
              </w:rPr>
            </w:pPr>
            <w:r>
              <w:rPr>
                <w:rFonts w:ascii="Times New Roman" w:cs="Times New Roman" w:eastAsia="Calibri" w:hAnsi="Times New Roman"/>
                <w:kern w:val="2"/>
                <w:sz w:val="20"/>
                <w:szCs w:val="20"/>
              </w:rPr>
              <w:t>Male</w:t>
            </w:r>
          </w:p>
          <w:p>
            <w:pPr>
              <w:pStyle w:val="style0"/>
              <w:spacing w:lineRule="auto" w:line="360"/>
              <w:rPr>
                <w:sz w:val="20"/>
                <w:szCs w:val="20"/>
              </w:rPr>
            </w:pPr>
            <w:r>
              <w:rPr>
                <w:rFonts w:ascii="Times New Roman" w:cs="Times New Roman" w:eastAsia="Calibri" w:hAnsi="Times New Roman"/>
                <w:kern w:val="2"/>
                <w:sz w:val="20"/>
                <w:szCs w:val="20"/>
              </w:rPr>
              <w:t>Female</w:t>
            </w:r>
          </w:p>
        </w:tc>
        <w:tc>
          <w:tcPr>
            <w:tcW w:w="149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20 (30.8)</w:t>
            </w:r>
          </w:p>
          <w:p>
            <w:pPr>
              <w:pStyle w:val="style0"/>
              <w:spacing w:lineRule="auto" w:line="360"/>
              <w:rPr>
                <w:sz w:val="20"/>
                <w:szCs w:val="20"/>
              </w:rPr>
            </w:pPr>
            <w:r>
              <w:rPr>
                <w:rFonts w:ascii="Times New Roman" w:cs="Times New Roman" w:eastAsia="Calibri" w:hAnsi="Times New Roman"/>
                <w:kern w:val="2"/>
                <w:sz w:val="20"/>
                <w:szCs w:val="20"/>
              </w:rPr>
              <w:t>17 (20.0)</w:t>
            </w:r>
          </w:p>
        </w:tc>
        <w:tc>
          <w:tcPr>
            <w:tcW w:w="210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2.418 (1.337-4.645)</w:t>
            </w:r>
          </w:p>
          <w:p>
            <w:pPr>
              <w:pStyle w:val="style0"/>
              <w:spacing w:lineRule="auto" w:line="360"/>
              <w:rPr>
                <w:sz w:val="20"/>
                <w:szCs w:val="20"/>
              </w:rPr>
            </w:pPr>
            <w:r>
              <w:rPr>
                <w:rFonts w:ascii="Times New Roman" w:cs="Times New Roman" w:eastAsia="Calibri" w:hAnsi="Times New Roman"/>
                <w:kern w:val="2"/>
                <w:sz w:val="20"/>
                <w:szCs w:val="20"/>
              </w:rPr>
              <w:t>1</w:t>
            </w:r>
          </w:p>
        </w:tc>
        <w:tc>
          <w:tcPr>
            <w:tcW w:w="992"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0.005</w:t>
            </w:r>
          </w:p>
        </w:tc>
        <w:tc>
          <w:tcPr>
            <w:tcW w:w="196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1.929 (1.056-3.839)</w:t>
            </w:r>
          </w:p>
          <w:p>
            <w:pPr>
              <w:pStyle w:val="style0"/>
              <w:spacing w:lineRule="auto" w:line="360"/>
              <w:rPr>
                <w:sz w:val="20"/>
                <w:szCs w:val="20"/>
              </w:rPr>
            </w:pPr>
            <w:r>
              <w:rPr>
                <w:rFonts w:ascii="Times New Roman" w:cs="Times New Roman" w:eastAsia="Calibri" w:hAnsi="Times New Roman"/>
                <w:kern w:val="2"/>
                <w:sz w:val="20"/>
                <w:szCs w:val="20"/>
              </w:rPr>
              <w:t>1</w:t>
            </w:r>
          </w:p>
        </w:tc>
        <w:tc>
          <w:tcPr>
            <w:tcW w:w="99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0.048</w:t>
            </w:r>
          </w:p>
        </w:tc>
      </w:tr>
      <w:tr>
        <w:tblPrEx/>
        <w:trPr>
          <w:trHeight w:val="1002" w:hRule="atLeast"/>
        </w:trPr>
        <w:tc>
          <w:tcPr>
            <w:tcW w:w="2948" w:type="dxa"/>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Occupation</w:t>
            </w:r>
          </w:p>
          <w:p>
            <w:pPr>
              <w:pStyle w:val="style0"/>
              <w:spacing w:lineRule="auto" w:line="360"/>
              <w:rPr>
                <w:sz w:val="20"/>
                <w:szCs w:val="20"/>
              </w:rPr>
            </w:pPr>
            <w:r>
              <w:rPr>
                <w:rFonts w:ascii="Times New Roman" w:cs="Times New Roman" w:eastAsia="Calibri" w:hAnsi="Times New Roman"/>
                <w:kern w:val="2"/>
                <w:sz w:val="20"/>
                <w:szCs w:val="20"/>
              </w:rPr>
              <w:t>Formal employment</w:t>
            </w:r>
          </w:p>
          <w:p>
            <w:pPr>
              <w:pStyle w:val="style0"/>
              <w:spacing w:lineRule="auto" w:line="360"/>
              <w:rPr>
                <w:sz w:val="20"/>
                <w:szCs w:val="20"/>
              </w:rPr>
            </w:pPr>
            <w:r>
              <w:rPr>
                <w:rFonts w:ascii="Times New Roman" w:cs="Times New Roman" w:eastAsia="Calibri" w:hAnsi="Times New Roman"/>
                <w:kern w:val="2"/>
                <w:sz w:val="20"/>
                <w:szCs w:val="20"/>
              </w:rPr>
              <w:t>Self-employment</w:t>
            </w:r>
          </w:p>
          <w:p>
            <w:pPr>
              <w:pStyle w:val="style0"/>
              <w:spacing w:lineRule="auto" w:line="360"/>
              <w:rPr>
                <w:sz w:val="20"/>
                <w:szCs w:val="20"/>
              </w:rPr>
            </w:pPr>
            <w:r>
              <w:rPr>
                <w:rFonts w:ascii="Times New Roman" w:cs="Times New Roman" w:eastAsia="Calibri" w:hAnsi="Times New Roman"/>
                <w:kern w:val="2"/>
                <w:sz w:val="20"/>
                <w:szCs w:val="20"/>
              </w:rPr>
              <w:t>Non employed</w:t>
            </w:r>
          </w:p>
        </w:tc>
        <w:tc>
          <w:tcPr>
            <w:tcW w:w="149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8 (22.9)</w:t>
            </w:r>
          </w:p>
          <w:p>
            <w:pPr>
              <w:pStyle w:val="style0"/>
              <w:spacing w:lineRule="auto" w:line="360"/>
              <w:rPr>
                <w:sz w:val="20"/>
                <w:szCs w:val="20"/>
              </w:rPr>
            </w:pPr>
            <w:r>
              <w:rPr>
                <w:rFonts w:ascii="Times New Roman" w:cs="Times New Roman" w:eastAsia="Calibri" w:hAnsi="Times New Roman"/>
                <w:kern w:val="2"/>
                <w:sz w:val="20"/>
                <w:szCs w:val="20"/>
              </w:rPr>
              <w:t>12 (21.8)</w:t>
            </w:r>
          </w:p>
          <w:p>
            <w:pPr>
              <w:pStyle w:val="style0"/>
              <w:spacing w:lineRule="auto" w:line="360"/>
              <w:rPr>
                <w:sz w:val="20"/>
                <w:szCs w:val="20"/>
              </w:rPr>
            </w:pPr>
            <w:r>
              <w:rPr>
                <w:rFonts w:ascii="Times New Roman" w:cs="Times New Roman" w:eastAsia="Calibri" w:hAnsi="Times New Roman"/>
                <w:kern w:val="2"/>
                <w:sz w:val="20"/>
                <w:szCs w:val="20"/>
              </w:rPr>
              <w:t>17 (28.3)</w:t>
            </w:r>
          </w:p>
        </w:tc>
        <w:tc>
          <w:tcPr>
            <w:tcW w:w="210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1.421 (0.618-3.117)</w:t>
            </w:r>
          </w:p>
          <w:p>
            <w:pPr>
              <w:pStyle w:val="style0"/>
              <w:spacing w:lineRule="auto" w:line="360"/>
              <w:rPr>
                <w:sz w:val="20"/>
                <w:szCs w:val="20"/>
              </w:rPr>
            </w:pPr>
            <w:r>
              <w:rPr>
                <w:rFonts w:ascii="Times New Roman" w:cs="Times New Roman" w:eastAsia="Calibri" w:hAnsi="Times New Roman"/>
                <w:kern w:val="2"/>
                <w:sz w:val="20"/>
                <w:szCs w:val="20"/>
              </w:rPr>
              <w:t>0.812 (0.928-3.597)</w:t>
            </w:r>
          </w:p>
          <w:p>
            <w:pPr>
              <w:pStyle w:val="style0"/>
              <w:spacing w:lineRule="auto" w:line="360"/>
              <w:rPr>
                <w:sz w:val="20"/>
                <w:szCs w:val="20"/>
              </w:rPr>
            </w:pPr>
            <w:r>
              <w:rPr>
                <w:rFonts w:ascii="Times New Roman" w:cs="Times New Roman" w:eastAsia="Calibri" w:hAnsi="Times New Roman"/>
                <w:kern w:val="2"/>
                <w:sz w:val="20"/>
                <w:szCs w:val="20"/>
              </w:rPr>
              <w:t>1</w:t>
            </w:r>
          </w:p>
        </w:tc>
        <w:tc>
          <w:tcPr>
            <w:tcW w:w="992"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0.421</w:t>
            </w:r>
          </w:p>
          <w:p>
            <w:pPr>
              <w:pStyle w:val="style0"/>
              <w:spacing w:lineRule="auto" w:line="360"/>
              <w:rPr>
                <w:sz w:val="20"/>
                <w:szCs w:val="20"/>
              </w:rPr>
            </w:pPr>
            <w:r>
              <w:rPr>
                <w:rFonts w:ascii="Times New Roman" w:cs="Times New Roman" w:eastAsia="Calibri" w:hAnsi="Times New Roman"/>
                <w:kern w:val="2"/>
                <w:sz w:val="20"/>
                <w:szCs w:val="20"/>
              </w:rPr>
              <w:t>0.088</w:t>
            </w:r>
          </w:p>
        </w:tc>
        <w:tc>
          <w:tcPr>
            <w:tcW w:w="196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1.315 (0.517-3.204)</w:t>
            </w:r>
          </w:p>
          <w:p>
            <w:pPr>
              <w:pStyle w:val="style0"/>
              <w:spacing w:lineRule="auto" w:line="360"/>
              <w:rPr>
                <w:sz w:val="20"/>
                <w:szCs w:val="20"/>
              </w:rPr>
            </w:pPr>
            <w:r>
              <w:rPr>
                <w:rFonts w:ascii="Times New Roman" w:cs="Times New Roman" w:eastAsia="Calibri" w:hAnsi="Times New Roman"/>
                <w:kern w:val="2"/>
                <w:sz w:val="20"/>
                <w:szCs w:val="20"/>
              </w:rPr>
              <w:t>1.661 (0.823-3.184)</w:t>
            </w:r>
          </w:p>
          <w:p>
            <w:pPr>
              <w:pStyle w:val="style0"/>
              <w:spacing w:lineRule="auto" w:line="360"/>
              <w:rPr>
                <w:sz w:val="20"/>
                <w:szCs w:val="20"/>
              </w:rPr>
            </w:pPr>
            <w:r>
              <w:rPr>
                <w:rFonts w:ascii="Times New Roman" w:cs="Times New Roman" w:eastAsia="Calibri" w:hAnsi="Times New Roman"/>
                <w:kern w:val="2"/>
                <w:sz w:val="20"/>
                <w:szCs w:val="20"/>
              </w:rPr>
              <w:t>1</w:t>
            </w:r>
          </w:p>
        </w:tc>
        <w:tc>
          <w:tcPr>
            <w:tcW w:w="99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0.552</w:t>
            </w:r>
          </w:p>
          <w:p>
            <w:pPr>
              <w:pStyle w:val="style0"/>
              <w:spacing w:lineRule="auto" w:line="360"/>
              <w:rPr>
                <w:sz w:val="20"/>
                <w:szCs w:val="20"/>
              </w:rPr>
            </w:pPr>
            <w:r>
              <w:rPr>
                <w:rFonts w:ascii="Times New Roman" w:cs="Times New Roman" w:eastAsia="Calibri" w:hAnsi="Times New Roman"/>
                <w:kern w:val="2"/>
                <w:sz w:val="20"/>
                <w:szCs w:val="20"/>
              </w:rPr>
              <w:t>0.149</w:t>
            </w:r>
          </w:p>
        </w:tc>
      </w:tr>
      <w:tr>
        <w:tblPrEx/>
        <w:trPr/>
        <w:tc>
          <w:tcPr>
            <w:tcW w:w="2948" w:type="dxa"/>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Education level</w:t>
            </w:r>
          </w:p>
          <w:p>
            <w:pPr>
              <w:pStyle w:val="style0"/>
              <w:spacing w:lineRule="auto" w:line="360"/>
              <w:rPr>
                <w:sz w:val="20"/>
                <w:szCs w:val="20"/>
              </w:rPr>
            </w:pPr>
            <w:r>
              <w:rPr>
                <w:rFonts w:ascii="Times New Roman" w:cs="Times New Roman" w:eastAsia="Calibri" w:hAnsi="Times New Roman"/>
                <w:kern w:val="2"/>
                <w:sz w:val="20"/>
                <w:szCs w:val="20"/>
              </w:rPr>
              <w:t>Primary</w:t>
            </w:r>
          </w:p>
          <w:p>
            <w:pPr>
              <w:pStyle w:val="style0"/>
              <w:spacing w:lineRule="auto" w:line="360"/>
              <w:rPr>
                <w:sz w:val="20"/>
                <w:szCs w:val="20"/>
              </w:rPr>
            </w:pPr>
            <w:r>
              <w:rPr>
                <w:rFonts w:ascii="Times New Roman" w:cs="Times New Roman" w:eastAsia="Calibri" w:hAnsi="Times New Roman"/>
                <w:kern w:val="2"/>
                <w:sz w:val="20"/>
                <w:szCs w:val="20"/>
              </w:rPr>
              <w:t>Secondary</w:t>
            </w:r>
          </w:p>
          <w:p>
            <w:pPr>
              <w:pStyle w:val="style0"/>
              <w:spacing w:lineRule="auto" w:line="360"/>
              <w:rPr>
                <w:sz w:val="20"/>
                <w:szCs w:val="20"/>
              </w:rPr>
            </w:pPr>
            <w:r>
              <w:rPr>
                <w:rFonts w:ascii="Times New Roman" w:cs="Times New Roman" w:eastAsia="Calibri" w:hAnsi="Times New Roman"/>
                <w:kern w:val="2"/>
                <w:sz w:val="20"/>
                <w:szCs w:val="20"/>
              </w:rPr>
              <w:t>Tertiary</w:t>
            </w:r>
          </w:p>
          <w:p>
            <w:pPr>
              <w:pStyle w:val="style0"/>
              <w:spacing w:lineRule="auto" w:line="360"/>
              <w:rPr>
                <w:sz w:val="20"/>
                <w:szCs w:val="20"/>
              </w:rPr>
            </w:pPr>
            <w:r>
              <w:rPr>
                <w:rFonts w:ascii="Times New Roman" w:cs="Times New Roman" w:eastAsia="Calibri" w:hAnsi="Times New Roman"/>
                <w:kern w:val="2"/>
                <w:sz w:val="20"/>
                <w:szCs w:val="20"/>
              </w:rPr>
              <w:t>No formal education</w:t>
            </w:r>
          </w:p>
        </w:tc>
        <w:tc>
          <w:tcPr>
            <w:tcW w:w="149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12 (30.0)</w:t>
            </w:r>
          </w:p>
          <w:p>
            <w:pPr>
              <w:pStyle w:val="style0"/>
              <w:spacing w:lineRule="auto" w:line="360"/>
              <w:rPr>
                <w:sz w:val="20"/>
                <w:szCs w:val="20"/>
              </w:rPr>
            </w:pPr>
            <w:r>
              <w:rPr>
                <w:rFonts w:ascii="Times New Roman" w:cs="Times New Roman" w:eastAsia="Calibri" w:hAnsi="Times New Roman"/>
                <w:kern w:val="2"/>
                <w:sz w:val="20"/>
                <w:szCs w:val="20"/>
              </w:rPr>
              <w:t>9 (18.0)</w:t>
            </w:r>
          </w:p>
          <w:p>
            <w:pPr>
              <w:pStyle w:val="style0"/>
              <w:spacing w:lineRule="auto" w:line="360"/>
              <w:rPr>
                <w:sz w:val="20"/>
                <w:szCs w:val="20"/>
              </w:rPr>
            </w:pPr>
            <w:r>
              <w:rPr>
                <w:rFonts w:ascii="Times New Roman" w:cs="Times New Roman" w:eastAsia="Calibri" w:hAnsi="Times New Roman"/>
                <w:kern w:val="2"/>
                <w:sz w:val="20"/>
                <w:szCs w:val="20"/>
              </w:rPr>
              <w:t>6 (20.0)</w:t>
            </w:r>
          </w:p>
          <w:p>
            <w:pPr>
              <w:pStyle w:val="style0"/>
              <w:spacing w:lineRule="auto" w:line="360"/>
              <w:rPr>
                <w:sz w:val="20"/>
                <w:szCs w:val="20"/>
              </w:rPr>
            </w:pPr>
            <w:r>
              <w:rPr>
                <w:rFonts w:ascii="Times New Roman" w:cs="Times New Roman" w:eastAsia="Calibri" w:hAnsi="Times New Roman"/>
                <w:kern w:val="2"/>
                <w:sz w:val="20"/>
                <w:szCs w:val="20"/>
              </w:rPr>
              <w:t>10 (20.0)</w:t>
            </w:r>
          </w:p>
        </w:tc>
        <w:tc>
          <w:tcPr>
            <w:tcW w:w="210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1.946 (1.013-3.626)</w:t>
            </w:r>
          </w:p>
          <w:p>
            <w:pPr>
              <w:pStyle w:val="style0"/>
              <w:spacing w:lineRule="auto" w:line="360"/>
              <w:rPr>
                <w:sz w:val="20"/>
                <w:szCs w:val="20"/>
              </w:rPr>
            </w:pPr>
            <w:r>
              <w:rPr>
                <w:rFonts w:ascii="Times New Roman" w:cs="Times New Roman" w:eastAsia="Calibri" w:hAnsi="Times New Roman"/>
                <w:kern w:val="2"/>
                <w:sz w:val="20"/>
                <w:szCs w:val="20"/>
              </w:rPr>
              <w:t>1.540 (0.803-2.953)</w:t>
            </w:r>
          </w:p>
          <w:p>
            <w:pPr>
              <w:pStyle w:val="style0"/>
              <w:spacing w:lineRule="auto" w:line="360"/>
              <w:rPr>
                <w:sz w:val="20"/>
                <w:szCs w:val="20"/>
              </w:rPr>
            </w:pPr>
            <w:r>
              <w:rPr>
                <w:rFonts w:ascii="Times New Roman" w:cs="Times New Roman" w:eastAsia="Calibri" w:hAnsi="Times New Roman"/>
                <w:kern w:val="2"/>
                <w:sz w:val="20"/>
                <w:szCs w:val="20"/>
              </w:rPr>
              <w:t>0.944 (0.412-2.082)</w:t>
            </w:r>
          </w:p>
          <w:p>
            <w:pPr>
              <w:pStyle w:val="style0"/>
              <w:spacing w:lineRule="auto" w:line="360"/>
              <w:rPr>
                <w:sz w:val="20"/>
                <w:szCs w:val="20"/>
              </w:rPr>
            </w:pPr>
            <w:r>
              <w:rPr>
                <w:rFonts w:ascii="Times New Roman" w:cs="Times New Roman" w:eastAsia="Calibri" w:hAnsi="Times New Roman"/>
                <w:kern w:val="2"/>
                <w:sz w:val="20"/>
                <w:szCs w:val="20"/>
              </w:rPr>
              <w:t>1</w:t>
            </w:r>
          </w:p>
        </w:tc>
        <w:tc>
          <w:tcPr>
            <w:tcW w:w="992"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0.047</w:t>
            </w:r>
          </w:p>
          <w:p>
            <w:pPr>
              <w:pStyle w:val="style0"/>
              <w:spacing w:lineRule="auto" w:line="360"/>
              <w:rPr>
                <w:sz w:val="20"/>
                <w:szCs w:val="20"/>
              </w:rPr>
            </w:pPr>
            <w:r>
              <w:rPr>
                <w:rFonts w:ascii="Times New Roman" w:cs="Times New Roman" w:eastAsia="Calibri" w:hAnsi="Times New Roman"/>
                <w:kern w:val="2"/>
                <w:sz w:val="20"/>
                <w:szCs w:val="20"/>
              </w:rPr>
              <w:t>0.182</w:t>
            </w:r>
          </w:p>
          <w:p>
            <w:pPr>
              <w:pStyle w:val="style0"/>
              <w:spacing w:lineRule="auto" w:line="360"/>
              <w:rPr>
                <w:sz w:val="20"/>
                <w:szCs w:val="20"/>
              </w:rPr>
            </w:pPr>
            <w:r>
              <w:rPr>
                <w:rFonts w:ascii="Times New Roman" w:cs="Times New Roman" w:eastAsia="Calibri" w:hAnsi="Times New Roman"/>
                <w:kern w:val="2"/>
                <w:sz w:val="20"/>
                <w:szCs w:val="20"/>
              </w:rPr>
              <w:t>0.811</w:t>
            </w:r>
          </w:p>
          <w:p>
            <w:pPr>
              <w:pStyle w:val="style0"/>
              <w:spacing w:lineRule="auto" w:line="360"/>
              <w:rPr>
                <w:sz w:val="20"/>
                <w:szCs w:val="20"/>
              </w:rPr>
            </w:pPr>
          </w:p>
        </w:tc>
        <w:tc>
          <w:tcPr>
            <w:tcW w:w="196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1.732 (0.904-3.287)</w:t>
            </w:r>
          </w:p>
          <w:p>
            <w:pPr>
              <w:pStyle w:val="style0"/>
              <w:spacing w:lineRule="auto" w:line="360"/>
              <w:rPr>
                <w:sz w:val="20"/>
                <w:szCs w:val="20"/>
              </w:rPr>
            </w:pPr>
            <w:r>
              <w:rPr>
                <w:rFonts w:ascii="Times New Roman" w:cs="Times New Roman" w:eastAsia="Calibri" w:hAnsi="Times New Roman"/>
                <w:kern w:val="2"/>
                <w:sz w:val="20"/>
                <w:szCs w:val="20"/>
              </w:rPr>
              <w:t>1.436 (0.707-2.879)</w:t>
            </w:r>
          </w:p>
          <w:p>
            <w:pPr>
              <w:pStyle w:val="style0"/>
              <w:spacing w:lineRule="auto" w:line="360"/>
              <w:rPr>
                <w:sz w:val="20"/>
                <w:szCs w:val="20"/>
              </w:rPr>
            </w:pPr>
            <w:r>
              <w:rPr>
                <w:rFonts w:ascii="Times New Roman" w:cs="Times New Roman" w:eastAsia="Calibri" w:hAnsi="Times New Roman"/>
                <w:kern w:val="2"/>
                <w:sz w:val="20"/>
                <w:szCs w:val="20"/>
              </w:rPr>
              <w:t>0.845 (0.324-2.104)</w:t>
            </w:r>
          </w:p>
          <w:p>
            <w:pPr>
              <w:pStyle w:val="style0"/>
              <w:spacing w:lineRule="auto" w:line="360"/>
              <w:rPr>
                <w:sz w:val="20"/>
                <w:szCs w:val="20"/>
              </w:rPr>
            </w:pPr>
            <w:r>
              <w:rPr>
                <w:rFonts w:ascii="Times New Roman" w:cs="Times New Roman" w:eastAsia="Calibri" w:hAnsi="Times New Roman"/>
                <w:kern w:val="2"/>
                <w:sz w:val="20"/>
                <w:szCs w:val="20"/>
              </w:rPr>
              <w:t>1</w:t>
            </w:r>
          </w:p>
        </w:tc>
        <w:tc>
          <w:tcPr>
            <w:tcW w:w="993"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0.089</w:t>
            </w:r>
          </w:p>
          <w:p>
            <w:pPr>
              <w:pStyle w:val="style0"/>
              <w:spacing w:lineRule="auto" w:line="360"/>
              <w:rPr>
                <w:sz w:val="20"/>
                <w:szCs w:val="20"/>
              </w:rPr>
            </w:pPr>
            <w:r>
              <w:rPr>
                <w:rFonts w:ascii="Times New Roman" w:cs="Times New Roman" w:eastAsia="Calibri" w:hAnsi="Times New Roman"/>
                <w:kern w:val="2"/>
                <w:sz w:val="20"/>
                <w:szCs w:val="20"/>
              </w:rPr>
              <w:t>0.234</w:t>
            </w:r>
          </w:p>
          <w:p>
            <w:pPr>
              <w:pStyle w:val="style0"/>
              <w:spacing w:lineRule="auto" w:line="360"/>
              <w:rPr>
                <w:sz w:val="20"/>
                <w:szCs w:val="20"/>
              </w:rPr>
            </w:pPr>
            <w:r>
              <w:rPr>
                <w:rFonts w:ascii="Times New Roman" w:cs="Times New Roman" w:eastAsia="Calibri" w:hAnsi="Times New Roman"/>
                <w:kern w:val="2"/>
                <w:sz w:val="20"/>
                <w:szCs w:val="20"/>
              </w:rPr>
              <w:t>0.694</w:t>
            </w:r>
          </w:p>
        </w:tc>
      </w:tr>
    </w:tbl>
    <w:p>
      <w:pPr>
        <w:pStyle w:val="style0"/>
        <w:jc w:val="center"/>
        <w:rPr>
          <w:sz w:val="20"/>
          <w:szCs w:val="20"/>
        </w:rPr>
      </w:pPr>
      <w:r>
        <w:rPr>
          <w:rFonts w:ascii="Times New Roman" w:cs="Times New Roman" w:eastAsia="Calibri" w:hAnsi="Times New Roman"/>
          <w:b/>
          <w:bCs/>
          <w:kern w:val="2"/>
          <w:sz w:val="20"/>
          <w:szCs w:val="20"/>
        </w:rPr>
        <w:t xml:space="preserve">Table </w:t>
      </w:r>
      <w:r>
        <w:rPr>
          <w:rFonts w:ascii="Times New Roman" w:cs="Times New Roman" w:eastAsia="Calibri" w:hAnsi="Times New Roman"/>
          <w:b/>
          <w:bCs/>
          <w:kern w:val="2"/>
          <w:sz w:val="20"/>
          <w:szCs w:val="20"/>
        </w:rPr>
        <w:t>3: Univariate and multivariate analysis of demographic factors for prevalence of liver dysfunction among HIV-positive patients attending the ESUT Teaching Hospital</w:t>
      </w:r>
    </w:p>
    <w:p>
      <w:pPr>
        <w:pStyle w:val="style0"/>
        <w:rPr>
          <w:sz w:val="20"/>
          <w:szCs w:val="20"/>
        </w:rPr>
      </w:pPr>
    </w:p>
    <w:tbl>
      <w:tblPr>
        <w:tblpPr w:leftFromText="180" w:rightFromText="180" w:topFromText="0" w:bottomFromText="0" w:vertAnchor="text" w:horzAnchor="margin" w:tblpXSpec="center" w:tblpY="290"/>
        <w:tblW w:w="10632" w:type="dxa"/>
        <w:tblLayout w:type="fixed"/>
        <w:tblLook w:val="04A0" w:firstRow="1" w:lastRow="0" w:firstColumn="1" w:lastColumn="0" w:noHBand="0" w:noVBand="1"/>
      </w:tblPr>
      <w:tblGrid>
        <w:gridCol w:w="3077"/>
        <w:gridCol w:w="1317"/>
        <w:gridCol w:w="2269"/>
        <w:gridCol w:w="849"/>
        <w:gridCol w:w="2269"/>
        <w:gridCol w:w="851"/>
      </w:tblGrid>
      <w:tr>
        <w:trPr>
          <w:trHeight w:val="664" w:hRule="atLeast"/>
        </w:trPr>
        <w:tc>
          <w:tcPr>
            <w:tcW w:w="3077" w:type="dxa"/>
            <w:vMerge w:val="restart"/>
            <w:tcBorders>
              <w:top w:val="single" w:sz="4" w:space="0" w:color="auto"/>
              <w:bottom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Clinical factors</w:t>
            </w:r>
          </w:p>
        </w:tc>
        <w:tc>
          <w:tcPr>
            <w:tcW w:w="1317" w:type="dxa"/>
            <w:vMerge w:val="restart"/>
            <w:tcBorders>
              <w:top w:val="single" w:sz="4" w:space="0" w:color="auto"/>
              <w:bottom w:val="single" w:sz="4" w:space="0" w:color="auto"/>
            </w:tcBorders>
            <w:tcMar>
              <w:top w:w="0" w:type="dxa"/>
              <w:left w:w="108" w:type="dxa"/>
              <w:bottom w:w="0" w:type="dxa"/>
              <w:right w:w="108" w:type="dxa"/>
            </w:tcMar>
          </w:tcPr>
          <w:p>
            <w:pPr>
              <w:pStyle w:val="style0"/>
              <w:spacing w:lineRule="auto" w:line="360"/>
              <w:jc w:val="center"/>
              <w:rPr>
                <w:sz w:val="20"/>
                <w:szCs w:val="20"/>
              </w:rPr>
            </w:pPr>
            <w:r>
              <w:rPr>
                <w:rFonts w:ascii="Times New Roman" w:cs="Times New Roman" w:eastAsia="Calibri" w:hAnsi="Times New Roman"/>
                <w:b/>
                <w:bCs/>
                <w:kern w:val="2"/>
                <w:sz w:val="20"/>
                <w:szCs w:val="20"/>
              </w:rPr>
              <w:t>Prevalence</w:t>
            </w:r>
          </w:p>
          <w:p>
            <w:pPr>
              <w:pStyle w:val="style0"/>
              <w:spacing w:lineRule="auto" w:line="360"/>
              <w:jc w:val="center"/>
              <w:rPr>
                <w:sz w:val="20"/>
                <w:szCs w:val="20"/>
              </w:rPr>
            </w:pPr>
            <w:r>
              <w:rPr>
                <w:rFonts w:ascii="Times New Roman" w:cs="Times New Roman" w:eastAsia="Calibri" w:hAnsi="Times New Roman"/>
                <w:b/>
                <w:bCs/>
                <w:kern w:val="2"/>
                <w:sz w:val="20"/>
                <w:szCs w:val="20"/>
              </w:rPr>
              <w:t>of liver dysfunction</w:t>
            </w:r>
          </w:p>
        </w:tc>
        <w:tc>
          <w:tcPr>
            <w:tcW w:w="3118" w:type="dxa"/>
            <w:gridSpan w:val="2"/>
            <w:tcBorders>
              <w:top w:val="single" w:sz="4" w:space="0" w:color="auto"/>
              <w:bottom w:val="single" w:sz="4" w:space="0" w:color="auto"/>
            </w:tcBorders>
            <w:tcMar>
              <w:top w:w="0" w:type="dxa"/>
              <w:left w:w="108" w:type="dxa"/>
              <w:bottom w:w="0" w:type="dxa"/>
              <w:right w:w="108" w:type="dxa"/>
            </w:tcMar>
          </w:tcPr>
          <w:p>
            <w:pPr>
              <w:pStyle w:val="style0"/>
              <w:spacing w:lineRule="auto" w:line="360"/>
              <w:jc w:val="center"/>
              <w:rPr>
                <w:sz w:val="20"/>
                <w:szCs w:val="20"/>
              </w:rPr>
            </w:pPr>
            <w:r>
              <w:rPr>
                <w:rFonts w:ascii="Times New Roman" w:cs="Times New Roman" w:eastAsia="Calibri" w:hAnsi="Times New Roman"/>
                <w:b/>
                <w:bCs/>
                <w:kern w:val="2"/>
                <w:sz w:val="20"/>
                <w:szCs w:val="20"/>
              </w:rPr>
              <w:t>Univariate analysis</w:t>
            </w:r>
          </w:p>
        </w:tc>
        <w:tc>
          <w:tcPr>
            <w:tcW w:w="3120" w:type="dxa"/>
            <w:gridSpan w:val="2"/>
            <w:tcBorders>
              <w:top w:val="single" w:sz="4" w:space="0" w:color="auto"/>
              <w:bottom w:val="single" w:sz="4" w:space="0" w:color="auto"/>
            </w:tcBorders>
            <w:tcMar>
              <w:top w:w="0" w:type="dxa"/>
              <w:left w:w="108" w:type="dxa"/>
              <w:bottom w:w="0" w:type="dxa"/>
              <w:right w:w="108" w:type="dxa"/>
            </w:tcMar>
          </w:tcPr>
          <w:p>
            <w:pPr>
              <w:pStyle w:val="style0"/>
              <w:spacing w:lineRule="auto" w:line="360"/>
              <w:jc w:val="center"/>
              <w:rPr>
                <w:sz w:val="20"/>
                <w:szCs w:val="20"/>
              </w:rPr>
            </w:pPr>
            <w:r>
              <w:rPr>
                <w:rFonts w:ascii="Times New Roman" w:cs="Times New Roman" w:eastAsia="Calibri" w:hAnsi="Times New Roman"/>
                <w:b/>
                <w:bCs/>
                <w:kern w:val="2"/>
                <w:sz w:val="20"/>
                <w:szCs w:val="20"/>
              </w:rPr>
              <w:t>Multivariate analysis</w:t>
            </w:r>
          </w:p>
        </w:tc>
      </w:tr>
      <w:tr>
        <w:tblPrEx/>
        <w:trPr/>
        <w:tc>
          <w:tcPr>
            <w:tcW w:w="3077" w:type="dxa"/>
            <w:vMerge w:val="continue"/>
            <w:tcBorders>
              <w:top w:val="single" w:sz="4" w:space="0" w:color="auto"/>
            </w:tcBorders>
            <w:tcMar/>
          </w:tcPr>
          <w:p>
            <w:pPr>
              <w:pStyle w:val="style0"/>
              <w:spacing w:lineRule="auto" w:line="360"/>
              <w:rPr>
                <w:sz w:val="20"/>
                <w:szCs w:val="20"/>
              </w:rPr>
            </w:pPr>
          </w:p>
        </w:tc>
        <w:tc>
          <w:tcPr>
            <w:tcW w:w="1317" w:type="dxa"/>
            <w:vMerge w:val="continue"/>
            <w:tcBorders>
              <w:top w:val="single" w:sz="4" w:space="0" w:color="auto"/>
            </w:tcBorders>
            <w:tcMar/>
          </w:tcPr>
          <w:p>
            <w:pPr>
              <w:pStyle w:val="style0"/>
              <w:spacing w:lineRule="auto" w:line="360"/>
              <w:jc w:val="center"/>
              <w:rPr>
                <w:sz w:val="20"/>
                <w:szCs w:val="20"/>
              </w:rPr>
            </w:pPr>
          </w:p>
        </w:tc>
        <w:tc>
          <w:tcPr>
            <w:tcW w:w="2269" w:type="dxa"/>
            <w:tcBorders>
              <w:top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COR (95% CI)</w:t>
            </w:r>
          </w:p>
        </w:tc>
        <w:tc>
          <w:tcPr>
            <w:tcW w:w="849" w:type="dxa"/>
            <w:tcBorders>
              <w:top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p Value</w:t>
            </w:r>
          </w:p>
        </w:tc>
        <w:tc>
          <w:tcPr>
            <w:tcW w:w="2269" w:type="dxa"/>
            <w:tcBorders>
              <w:top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AOR (95% CI)</w:t>
            </w:r>
          </w:p>
        </w:tc>
        <w:tc>
          <w:tcPr>
            <w:tcW w:w="851" w:type="dxa"/>
            <w:tcBorders>
              <w:top w:val="single" w:sz="4" w:space="0" w:color="auto"/>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p Value</w:t>
            </w:r>
          </w:p>
        </w:tc>
      </w:tr>
      <w:tr>
        <w:tblPrEx/>
        <w:trPr>
          <w:trHeight w:val="1393" w:hRule="atLeast"/>
        </w:trPr>
        <w:tc>
          <w:tcPr>
            <w:tcW w:w="3077" w:type="dxa"/>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 xml:space="preserve">Do you have any of the following </w:t>
            </w:r>
            <w:r>
              <w:rPr>
                <w:rFonts w:ascii="Times New Roman" w:cs="Times New Roman" w:eastAsia="Calibri" w:hAnsi="Times New Roman"/>
                <w:b/>
                <w:bCs/>
                <w:kern w:val="2"/>
                <w:sz w:val="20"/>
                <w:szCs w:val="20"/>
              </w:rPr>
              <w:t>symptoms?</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Fatigue</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Abdominal pain</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Jaundice</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Dark urine</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Pale stools</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Nausea or vomiting</w:t>
            </w:r>
          </w:p>
          <w:p>
            <w:pPr>
              <w:pStyle w:val="style0"/>
              <w:spacing w:lineRule="auto" w:line="360"/>
              <w:ind w:left="37" w:hanging="280"/>
              <w:jc w:val="both"/>
              <w:rPr>
                <w:sz w:val="20"/>
                <w:szCs w:val="20"/>
              </w:rPr>
            </w:pP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 xml:space="preserve"> </w:t>
            </w:r>
            <w:r>
              <w:rPr>
                <w:rFonts w:ascii="Times New Roman" w:cs="Times New Roman" w:eastAsia="Calibri" w:hAnsi="Times New Roman"/>
                <w:kern w:val="2"/>
                <w:sz w:val="20"/>
                <w:szCs w:val="20"/>
              </w:rPr>
              <w:t>None</w:t>
            </w:r>
          </w:p>
        </w:tc>
        <w:tc>
          <w:tcPr>
            <w:tcW w:w="1317"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10 (33.3)</w:t>
            </w:r>
          </w:p>
          <w:p>
            <w:pPr>
              <w:pStyle w:val="style0"/>
              <w:spacing w:lineRule="auto" w:line="360"/>
              <w:rPr>
                <w:sz w:val="20"/>
                <w:szCs w:val="20"/>
              </w:rPr>
            </w:pPr>
            <w:r>
              <w:rPr>
                <w:rFonts w:ascii="Times New Roman" w:cs="Times New Roman" w:eastAsia="Calibri" w:hAnsi="Times New Roman"/>
                <w:kern w:val="2"/>
                <w:sz w:val="20"/>
                <w:szCs w:val="20"/>
              </w:rPr>
              <w:t>8 (32.0)</w:t>
            </w:r>
          </w:p>
          <w:p>
            <w:pPr>
              <w:pStyle w:val="style0"/>
              <w:spacing w:lineRule="auto" w:line="360"/>
              <w:rPr>
                <w:sz w:val="20"/>
                <w:szCs w:val="20"/>
              </w:rPr>
            </w:pPr>
            <w:r>
              <w:rPr>
                <w:rFonts w:ascii="Times New Roman" w:cs="Times New Roman" w:eastAsia="Calibri" w:hAnsi="Times New Roman"/>
                <w:kern w:val="2"/>
                <w:sz w:val="20"/>
                <w:szCs w:val="20"/>
              </w:rPr>
              <w:t>7 (35.0)</w:t>
            </w:r>
          </w:p>
          <w:p>
            <w:pPr>
              <w:pStyle w:val="style0"/>
              <w:spacing w:lineRule="auto" w:line="360"/>
              <w:rPr>
                <w:sz w:val="20"/>
                <w:szCs w:val="20"/>
              </w:rPr>
            </w:pPr>
            <w:r>
              <w:rPr>
                <w:rFonts w:ascii="Times New Roman" w:cs="Times New Roman" w:eastAsia="Calibri" w:hAnsi="Times New Roman"/>
                <w:kern w:val="2"/>
                <w:sz w:val="20"/>
                <w:szCs w:val="20"/>
              </w:rPr>
              <w:t>6 (33.3)</w:t>
            </w:r>
          </w:p>
          <w:p>
            <w:pPr>
              <w:pStyle w:val="style0"/>
              <w:spacing w:lineRule="auto" w:line="360"/>
              <w:rPr>
                <w:sz w:val="20"/>
                <w:szCs w:val="20"/>
              </w:rPr>
            </w:pPr>
            <w:r>
              <w:rPr>
                <w:rFonts w:ascii="Times New Roman" w:cs="Times New Roman" w:eastAsia="Calibri" w:hAnsi="Times New Roman"/>
                <w:kern w:val="2"/>
                <w:sz w:val="20"/>
                <w:szCs w:val="20"/>
              </w:rPr>
              <w:t>3 (30.0)</w:t>
            </w:r>
          </w:p>
          <w:p>
            <w:pPr>
              <w:pStyle w:val="style0"/>
              <w:spacing w:lineRule="auto" w:line="360"/>
              <w:rPr>
                <w:sz w:val="20"/>
                <w:szCs w:val="20"/>
              </w:rPr>
            </w:pPr>
            <w:r>
              <w:rPr>
                <w:rFonts w:ascii="Times New Roman" w:cs="Times New Roman" w:eastAsia="Calibri" w:hAnsi="Times New Roman"/>
                <w:kern w:val="2"/>
                <w:sz w:val="20"/>
                <w:szCs w:val="20"/>
              </w:rPr>
              <w:t>5 (33.3)</w:t>
            </w:r>
          </w:p>
          <w:p>
            <w:pPr>
              <w:pStyle w:val="style0"/>
              <w:spacing w:lineRule="auto" w:line="360"/>
              <w:rPr>
                <w:sz w:val="20"/>
                <w:szCs w:val="20"/>
              </w:rPr>
            </w:pPr>
            <w:r>
              <w:rPr>
                <w:rFonts w:ascii="Times New Roman" w:cs="Times New Roman" w:eastAsia="Calibri" w:hAnsi="Times New Roman"/>
                <w:kern w:val="2"/>
                <w:sz w:val="20"/>
                <w:szCs w:val="20"/>
              </w:rPr>
              <w:t>15 (23.1)</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3.217 (1.871-5.874)</w:t>
            </w:r>
          </w:p>
          <w:p>
            <w:pPr>
              <w:pStyle w:val="style0"/>
              <w:spacing w:lineRule="auto" w:line="360"/>
              <w:rPr>
                <w:sz w:val="20"/>
                <w:szCs w:val="20"/>
              </w:rPr>
            </w:pPr>
            <w:r>
              <w:rPr>
                <w:rFonts w:ascii="Times New Roman" w:cs="Times New Roman" w:eastAsia="Calibri" w:hAnsi="Times New Roman"/>
                <w:kern w:val="2"/>
                <w:sz w:val="20"/>
                <w:szCs w:val="20"/>
              </w:rPr>
              <w:t>2.842 (1.369-5.225)</w:t>
            </w:r>
          </w:p>
          <w:p>
            <w:pPr>
              <w:pStyle w:val="style0"/>
              <w:spacing w:lineRule="auto" w:line="360"/>
              <w:rPr>
                <w:sz w:val="20"/>
                <w:szCs w:val="20"/>
              </w:rPr>
            </w:pPr>
            <w:r>
              <w:rPr>
                <w:rFonts w:ascii="Times New Roman" w:cs="Times New Roman" w:eastAsia="Calibri" w:hAnsi="Times New Roman"/>
                <w:kern w:val="2"/>
                <w:sz w:val="20"/>
                <w:szCs w:val="20"/>
              </w:rPr>
              <w:t>3.102 (1.590-6.150)</w:t>
            </w:r>
          </w:p>
          <w:p>
            <w:pPr>
              <w:pStyle w:val="style0"/>
              <w:spacing w:lineRule="auto" w:line="360"/>
              <w:rPr>
                <w:sz w:val="20"/>
                <w:szCs w:val="20"/>
              </w:rPr>
            </w:pPr>
            <w:r>
              <w:rPr>
                <w:rFonts w:ascii="Times New Roman" w:cs="Times New Roman" w:eastAsia="Calibri" w:hAnsi="Times New Roman"/>
                <w:kern w:val="2"/>
                <w:sz w:val="20"/>
                <w:szCs w:val="20"/>
              </w:rPr>
              <w:t>2.901 (1.380-6.230)</w:t>
            </w:r>
          </w:p>
          <w:p>
            <w:pPr>
              <w:pStyle w:val="style0"/>
              <w:spacing w:lineRule="auto" w:line="360"/>
              <w:rPr>
                <w:sz w:val="20"/>
                <w:szCs w:val="20"/>
              </w:rPr>
            </w:pPr>
            <w:r>
              <w:rPr>
                <w:rFonts w:ascii="Times New Roman" w:cs="Times New Roman" w:eastAsia="Calibri" w:hAnsi="Times New Roman"/>
                <w:kern w:val="2"/>
                <w:sz w:val="20"/>
                <w:szCs w:val="20"/>
              </w:rPr>
              <w:t>1.410 (0.650-3.325)</w:t>
            </w:r>
          </w:p>
          <w:p>
            <w:pPr>
              <w:pStyle w:val="style0"/>
              <w:spacing w:lineRule="auto" w:line="360"/>
              <w:rPr>
                <w:sz w:val="20"/>
                <w:szCs w:val="20"/>
              </w:rPr>
            </w:pPr>
            <w:r>
              <w:rPr>
                <w:rFonts w:ascii="Times New Roman" w:cs="Times New Roman" w:eastAsia="Calibri" w:hAnsi="Times New Roman"/>
                <w:kern w:val="2"/>
                <w:sz w:val="20"/>
                <w:szCs w:val="20"/>
              </w:rPr>
              <w:t>1.840 (0.900-3.900)</w:t>
            </w:r>
          </w:p>
          <w:p>
            <w:pPr>
              <w:pStyle w:val="style0"/>
              <w:spacing w:lineRule="auto" w:line="360"/>
              <w:rPr>
                <w:sz w:val="20"/>
                <w:szCs w:val="20"/>
              </w:rPr>
            </w:pPr>
            <w:r>
              <w:rPr>
                <w:rFonts w:ascii="Times New Roman" w:cs="Times New Roman" w:eastAsia="Calibri" w:hAnsi="Times New Roman"/>
                <w:kern w:val="2"/>
                <w:sz w:val="20"/>
                <w:szCs w:val="20"/>
              </w:rPr>
              <w:t>1</w:t>
            </w:r>
          </w:p>
        </w:tc>
        <w:tc>
          <w:tcPr>
            <w:tcW w:w="84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0.002</w:t>
            </w:r>
          </w:p>
          <w:p>
            <w:pPr>
              <w:pStyle w:val="style0"/>
              <w:spacing w:lineRule="auto" w:line="360"/>
              <w:rPr>
                <w:sz w:val="20"/>
                <w:szCs w:val="20"/>
              </w:rPr>
            </w:pPr>
            <w:r>
              <w:rPr>
                <w:rFonts w:ascii="Times New Roman" w:cs="Times New Roman" w:eastAsia="Calibri" w:hAnsi="Times New Roman"/>
                <w:kern w:val="2"/>
                <w:sz w:val="20"/>
                <w:szCs w:val="20"/>
              </w:rPr>
              <w:t>0.003</w:t>
            </w:r>
          </w:p>
          <w:p>
            <w:pPr>
              <w:pStyle w:val="style0"/>
              <w:spacing w:lineRule="auto" w:line="360"/>
              <w:rPr>
                <w:sz w:val="20"/>
                <w:szCs w:val="20"/>
              </w:rPr>
            </w:pPr>
            <w:r>
              <w:rPr>
                <w:rFonts w:ascii="Times New Roman" w:cs="Times New Roman" w:eastAsia="Calibri" w:hAnsi="Times New Roman"/>
                <w:kern w:val="2"/>
                <w:sz w:val="20"/>
                <w:szCs w:val="20"/>
              </w:rPr>
              <w:t>0.001</w:t>
            </w:r>
          </w:p>
          <w:p>
            <w:pPr>
              <w:pStyle w:val="style0"/>
              <w:spacing w:lineRule="auto" w:line="360"/>
              <w:rPr>
                <w:sz w:val="20"/>
                <w:szCs w:val="20"/>
              </w:rPr>
            </w:pPr>
            <w:r>
              <w:rPr>
                <w:rFonts w:ascii="Times New Roman" w:cs="Times New Roman" w:eastAsia="Calibri" w:hAnsi="Times New Roman"/>
                <w:kern w:val="2"/>
                <w:sz w:val="20"/>
                <w:szCs w:val="20"/>
              </w:rPr>
              <w:t>0.004</w:t>
            </w:r>
          </w:p>
          <w:p>
            <w:pPr>
              <w:pStyle w:val="style0"/>
              <w:spacing w:lineRule="auto" w:line="360"/>
              <w:rPr>
                <w:sz w:val="20"/>
                <w:szCs w:val="20"/>
              </w:rPr>
            </w:pPr>
            <w:r>
              <w:rPr>
                <w:rFonts w:ascii="Times New Roman" w:cs="Times New Roman" w:eastAsia="Calibri" w:hAnsi="Times New Roman"/>
                <w:kern w:val="2"/>
                <w:sz w:val="20"/>
                <w:szCs w:val="20"/>
              </w:rPr>
              <w:t>0.420</w:t>
            </w:r>
          </w:p>
          <w:p>
            <w:pPr>
              <w:pStyle w:val="style0"/>
              <w:spacing w:lineRule="auto" w:line="360"/>
              <w:rPr>
                <w:sz w:val="20"/>
                <w:szCs w:val="20"/>
              </w:rPr>
            </w:pPr>
            <w:r>
              <w:rPr>
                <w:rFonts w:ascii="Times New Roman" w:cs="Times New Roman" w:eastAsia="Calibri" w:hAnsi="Times New Roman"/>
                <w:kern w:val="2"/>
                <w:sz w:val="20"/>
                <w:szCs w:val="20"/>
              </w:rPr>
              <w:t>0.085</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2.731 (1.231-6.310)</w:t>
            </w:r>
          </w:p>
          <w:p>
            <w:pPr>
              <w:pStyle w:val="style0"/>
              <w:spacing w:lineRule="auto" w:line="360"/>
              <w:rPr>
                <w:sz w:val="20"/>
                <w:szCs w:val="20"/>
              </w:rPr>
            </w:pPr>
            <w:r>
              <w:rPr>
                <w:rFonts w:ascii="Times New Roman" w:cs="Times New Roman" w:eastAsia="Calibri" w:hAnsi="Times New Roman"/>
                <w:kern w:val="2"/>
                <w:sz w:val="20"/>
                <w:szCs w:val="20"/>
              </w:rPr>
              <w:t>2.513 (1.173-5.119)</w:t>
            </w:r>
          </w:p>
          <w:p>
            <w:pPr>
              <w:pStyle w:val="style0"/>
              <w:spacing w:lineRule="auto" w:line="360"/>
              <w:rPr>
                <w:sz w:val="20"/>
                <w:szCs w:val="20"/>
              </w:rPr>
            </w:pPr>
            <w:r>
              <w:rPr>
                <w:rFonts w:ascii="Times New Roman" w:cs="Times New Roman" w:eastAsia="Calibri" w:hAnsi="Times New Roman"/>
                <w:kern w:val="2"/>
                <w:sz w:val="20"/>
                <w:szCs w:val="20"/>
              </w:rPr>
              <w:t>2.872 (1.298-6.230)</w:t>
            </w:r>
          </w:p>
          <w:p>
            <w:pPr>
              <w:pStyle w:val="style0"/>
              <w:spacing w:lineRule="auto" w:line="360"/>
              <w:rPr>
                <w:sz w:val="20"/>
                <w:szCs w:val="20"/>
              </w:rPr>
            </w:pPr>
            <w:r>
              <w:rPr>
                <w:rFonts w:ascii="Times New Roman" w:cs="Times New Roman" w:eastAsia="Calibri" w:hAnsi="Times New Roman"/>
                <w:kern w:val="2"/>
                <w:sz w:val="20"/>
                <w:szCs w:val="20"/>
              </w:rPr>
              <w:t>2.390 (1.041-5.480)</w:t>
            </w:r>
          </w:p>
          <w:p>
            <w:pPr>
              <w:pStyle w:val="style0"/>
              <w:spacing w:lineRule="auto" w:line="360"/>
              <w:rPr>
                <w:sz w:val="20"/>
                <w:szCs w:val="20"/>
              </w:rPr>
            </w:pPr>
            <w:r>
              <w:rPr>
                <w:rFonts w:ascii="Times New Roman" w:cs="Times New Roman" w:eastAsia="Calibri" w:hAnsi="Times New Roman"/>
                <w:kern w:val="2"/>
                <w:sz w:val="20"/>
                <w:szCs w:val="20"/>
              </w:rPr>
              <w:t>1.220 (0.503-2.970)</w:t>
            </w:r>
          </w:p>
          <w:p>
            <w:pPr>
              <w:pStyle w:val="style0"/>
              <w:spacing w:lineRule="auto" w:line="360"/>
              <w:rPr>
                <w:sz w:val="20"/>
                <w:szCs w:val="20"/>
              </w:rPr>
            </w:pPr>
            <w:r>
              <w:rPr>
                <w:rFonts w:ascii="Times New Roman" w:cs="Times New Roman" w:eastAsia="Calibri" w:hAnsi="Times New Roman"/>
                <w:kern w:val="2"/>
                <w:sz w:val="20"/>
                <w:szCs w:val="20"/>
              </w:rPr>
              <w:t>1.710 (0.720-3.840)</w:t>
            </w:r>
          </w:p>
          <w:p>
            <w:pPr>
              <w:pStyle w:val="style0"/>
              <w:spacing w:lineRule="auto" w:line="360"/>
              <w:rPr>
                <w:sz w:val="20"/>
                <w:szCs w:val="20"/>
              </w:rPr>
            </w:pPr>
            <w:r>
              <w:rPr>
                <w:rFonts w:ascii="Times New Roman" w:cs="Times New Roman" w:eastAsia="Calibri" w:hAnsi="Times New Roman"/>
                <w:kern w:val="2"/>
                <w:sz w:val="20"/>
                <w:szCs w:val="20"/>
              </w:rPr>
              <w:t>1</w:t>
            </w:r>
          </w:p>
        </w:tc>
        <w:tc>
          <w:tcPr>
            <w:tcW w:w="85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0.014</w:t>
            </w:r>
          </w:p>
          <w:p>
            <w:pPr>
              <w:pStyle w:val="style0"/>
              <w:spacing w:lineRule="auto" w:line="360"/>
              <w:rPr>
                <w:sz w:val="20"/>
                <w:szCs w:val="20"/>
              </w:rPr>
            </w:pPr>
            <w:r>
              <w:rPr>
                <w:rFonts w:ascii="Times New Roman" w:cs="Times New Roman" w:eastAsia="Calibri" w:hAnsi="Times New Roman"/>
                <w:kern w:val="2"/>
                <w:sz w:val="20"/>
                <w:szCs w:val="20"/>
              </w:rPr>
              <w:t>0.022</w:t>
            </w:r>
          </w:p>
          <w:p>
            <w:pPr>
              <w:pStyle w:val="style0"/>
              <w:spacing w:lineRule="auto" w:line="360"/>
              <w:rPr>
                <w:sz w:val="20"/>
                <w:szCs w:val="20"/>
              </w:rPr>
            </w:pPr>
            <w:r>
              <w:rPr>
                <w:rFonts w:ascii="Times New Roman" w:cs="Times New Roman" w:eastAsia="Calibri" w:hAnsi="Times New Roman"/>
                <w:kern w:val="2"/>
                <w:sz w:val="20"/>
                <w:szCs w:val="20"/>
              </w:rPr>
              <w:t>0.010</w:t>
            </w:r>
          </w:p>
          <w:p>
            <w:pPr>
              <w:pStyle w:val="style0"/>
              <w:spacing w:lineRule="auto" w:line="360"/>
              <w:rPr>
                <w:sz w:val="20"/>
                <w:szCs w:val="20"/>
              </w:rPr>
            </w:pPr>
            <w:r>
              <w:rPr>
                <w:rFonts w:ascii="Times New Roman" w:cs="Times New Roman" w:eastAsia="Calibri" w:hAnsi="Times New Roman"/>
                <w:kern w:val="2"/>
                <w:sz w:val="20"/>
                <w:szCs w:val="20"/>
              </w:rPr>
              <w:t>0.032</w:t>
            </w:r>
          </w:p>
          <w:p>
            <w:pPr>
              <w:pStyle w:val="style0"/>
              <w:spacing w:lineRule="auto" w:line="360"/>
              <w:rPr>
                <w:sz w:val="20"/>
                <w:szCs w:val="20"/>
              </w:rPr>
            </w:pPr>
            <w:r>
              <w:rPr>
                <w:rFonts w:ascii="Times New Roman" w:cs="Times New Roman" w:eastAsia="Calibri" w:hAnsi="Times New Roman"/>
                <w:kern w:val="2"/>
                <w:sz w:val="20"/>
                <w:szCs w:val="20"/>
              </w:rPr>
              <w:t>0.5100.205</w:t>
            </w:r>
          </w:p>
        </w:tc>
      </w:tr>
      <w:tr>
        <w:tblPrEx/>
        <w:trPr>
          <w:trHeight w:val="1393" w:hRule="atLeast"/>
        </w:trPr>
        <w:tc>
          <w:tcPr>
            <w:tcW w:w="3077" w:type="dxa"/>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b/>
                <w:bCs/>
                <w:kern w:val="2"/>
                <w:sz w:val="20"/>
                <w:szCs w:val="20"/>
              </w:rPr>
              <w:t>Have you had liver function tests (LFTs) done in the last 6 months?</w:t>
            </w:r>
          </w:p>
          <w:p>
            <w:pPr>
              <w:pStyle w:val="style0"/>
              <w:spacing w:lineRule="auto" w:line="360"/>
              <w:jc w:val="both"/>
              <w:rPr>
                <w:sz w:val="20"/>
                <w:szCs w:val="20"/>
              </w:rPr>
            </w:pPr>
            <w:r>
              <w:rPr>
                <w:rFonts w:ascii="Times New Roman" w:cs="Times New Roman" w:eastAsia="Calibri" w:hAnsi="Times New Roman"/>
                <w:kern w:val="2"/>
                <w:sz w:val="20"/>
                <w:szCs w:val="20"/>
              </w:rPr>
              <w:t>Yes</w:t>
            </w:r>
          </w:p>
          <w:p>
            <w:pPr>
              <w:pStyle w:val="style0"/>
              <w:spacing w:lineRule="auto" w:line="360"/>
              <w:jc w:val="both"/>
              <w:rPr>
                <w:sz w:val="20"/>
                <w:szCs w:val="20"/>
              </w:rPr>
            </w:pPr>
            <w:r>
              <w:rPr>
                <w:rFonts w:ascii="Times New Roman" w:cs="Times New Roman" w:eastAsia="Calibri" w:hAnsi="Times New Roman"/>
                <w:kern w:val="2"/>
                <w:sz w:val="20"/>
                <w:szCs w:val="20"/>
              </w:rPr>
              <w:t>No</w:t>
            </w:r>
          </w:p>
        </w:tc>
        <w:tc>
          <w:tcPr>
            <w:tcW w:w="1317"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20 (36.4)</w:t>
            </w:r>
          </w:p>
          <w:p>
            <w:pPr>
              <w:pStyle w:val="style0"/>
              <w:spacing w:lineRule="auto" w:line="360"/>
              <w:rPr>
                <w:sz w:val="20"/>
                <w:szCs w:val="20"/>
              </w:rPr>
            </w:pPr>
            <w:r>
              <w:rPr>
                <w:rFonts w:ascii="Times New Roman" w:cs="Times New Roman" w:eastAsia="Calibri" w:hAnsi="Times New Roman"/>
                <w:kern w:val="2"/>
                <w:sz w:val="20"/>
                <w:szCs w:val="20"/>
              </w:rPr>
              <w:t>17 (17.9)</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2.710 (1.460-5.210)</w:t>
            </w:r>
          </w:p>
          <w:p>
            <w:pPr>
              <w:pStyle w:val="style0"/>
              <w:spacing w:lineRule="auto" w:line="360"/>
              <w:rPr>
                <w:sz w:val="20"/>
                <w:szCs w:val="20"/>
              </w:rPr>
            </w:pPr>
            <w:r>
              <w:rPr>
                <w:rFonts w:ascii="Times New Roman" w:cs="Times New Roman" w:eastAsia="Calibri" w:hAnsi="Times New Roman"/>
                <w:kern w:val="2"/>
                <w:sz w:val="20"/>
                <w:szCs w:val="20"/>
              </w:rPr>
              <w:t>1</w:t>
            </w:r>
          </w:p>
        </w:tc>
        <w:tc>
          <w:tcPr>
            <w:tcW w:w="84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0.003</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2.410 (1.210-4.600)</w:t>
            </w:r>
          </w:p>
          <w:p>
            <w:pPr>
              <w:pStyle w:val="style0"/>
              <w:spacing w:lineRule="auto" w:line="360"/>
              <w:rPr>
                <w:sz w:val="20"/>
                <w:szCs w:val="20"/>
              </w:rPr>
            </w:pPr>
            <w:r>
              <w:rPr>
                <w:rFonts w:ascii="Times New Roman" w:cs="Times New Roman" w:eastAsia="Calibri" w:hAnsi="Times New Roman"/>
                <w:kern w:val="2"/>
                <w:sz w:val="20"/>
                <w:szCs w:val="20"/>
              </w:rPr>
              <w:t>1</w:t>
            </w:r>
          </w:p>
        </w:tc>
        <w:tc>
          <w:tcPr>
            <w:tcW w:w="85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0.015</w:t>
            </w:r>
          </w:p>
        </w:tc>
      </w:tr>
      <w:tr>
        <w:tblPrEx/>
        <w:trPr>
          <w:trHeight w:val="1176" w:hRule="atLeast"/>
        </w:trPr>
        <w:tc>
          <w:tcPr>
            <w:tcW w:w="3077" w:type="dxa"/>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Do you consume alcohol?</w:t>
            </w:r>
            <w:r>
              <w:rPr>
                <w:rFonts w:ascii="Times New Roman" w:cs="Times New Roman" w:eastAsia="Calibri" w:hAnsi="Times New Roman"/>
                <w:kern w:val="2"/>
                <w:sz w:val="20"/>
                <w:szCs w:val="20"/>
              </w:rPr>
              <w:t xml:space="preserve">   Yes       </w:t>
            </w:r>
          </w:p>
          <w:p>
            <w:pPr>
              <w:pStyle w:val="style0"/>
              <w:spacing w:lineRule="auto" w:line="360"/>
              <w:rPr>
                <w:sz w:val="20"/>
                <w:szCs w:val="20"/>
              </w:rPr>
            </w:pPr>
            <w:r>
              <w:rPr>
                <w:rFonts w:ascii="Times New Roman" w:cs="Times New Roman" w:eastAsia="Calibri" w:hAnsi="Times New Roman"/>
                <w:kern w:val="2"/>
                <w:sz w:val="20"/>
                <w:szCs w:val="20"/>
              </w:rPr>
              <w:t>No</w:t>
            </w:r>
          </w:p>
        </w:tc>
        <w:tc>
          <w:tcPr>
            <w:tcW w:w="1317"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15 (37.5)</w:t>
            </w:r>
          </w:p>
          <w:p>
            <w:pPr>
              <w:pStyle w:val="style0"/>
              <w:spacing w:lineRule="auto" w:line="360"/>
              <w:rPr>
                <w:sz w:val="20"/>
                <w:szCs w:val="20"/>
              </w:rPr>
            </w:pPr>
            <w:r>
              <w:rPr>
                <w:rFonts w:ascii="Times New Roman" w:cs="Times New Roman" w:eastAsia="Calibri" w:hAnsi="Times New Roman"/>
                <w:kern w:val="2"/>
                <w:sz w:val="20"/>
                <w:szCs w:val="20"/>
              </w:rPr>
              <w:t>22 (20.8)</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3.110 (1.600-6.010)</w:t>
            </w:r>
          </w:p>
          <w:p>
            <w:pPr>
              <w:pStyle w:val="style0"/>
              <w:spacing w:lineRule="auto" w:line="360"/>
              <w:rPr>
                <w:sz w:val="20"/>
                <w:szCs w:val="20"/>
              </w:rPr>
            </w:pPr>
            <w:r>
              <w:rPr>
                <w:rFonts w:ascii="Times New Roman" w:cs="Times New Roman" w:eastAsia="Calibri" w:hAnsi="Times New Roman"/>
                <w:kern w:val="2"/>
                <w:sz w:val="20"/>
                <w:szCs w:val="20"/>
              </w:rPr>
              <w:t>1</w:t>
            </w:r>
          </w:p>
        </w:tc>
        <w:tc>
          <w:tcPr>
            <w:tcW w:w="84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0.002</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2.910 (1.400-6.210)</w:t>
            </w:r>
          </w:p>
          <w:p>
            <w:pPr>
              <w:pStyle w:val="style0"/>
              <w:spacing w:lineRule="auto" w:line="360"/>
              <w:rPr>
                <w:sz w:val="20"/>
                <w:szCs w:val="20"/>
              </w:rPr>
            </w:pPr>
            <w:r>
              <w:rPr>
                <w:rFonts w:ascii="Times New Roman" w:cs="Times New Roman" w:eastAsia="Calibri" w:hAnsi="Times New Roman"/>
                <w:kern w:val="2"/>
                <w:sz w:val="20"/>
                <w:szCs w:val="20"/>
              </w:rPr>
              <w:t>1</w:t>
            </w:r>
          </w:p>
        </w:tc>
        <w:tc>
          <w:tcPr>
            <w:tcW w:w="85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0.004</w:t>
            </w:r>
          </w:p>
        </w:tc>
      </w:tr>
      <w:tr>
        <w:tblPrEx/>
        <w:trPr>
          <w:trHeight w:val="1002" w:hRule="atLeast"/>
        </w:trPr>
        <w:tc>
          <w:tcPr>
            <w:tcW w:w="3077" w:type="dxa"/>
            <w:tcBorders/>
            <w:tcMar>
              <w:top w:w="0" w:type="dxa"/>
              <w:left w:w="108" w:type="dxa"/>
              <w:bottom w:w="0" w:type="dxa"/>
              <w:right w:w="108" w:type="dxa"/>
            </w:tcMar>
          </w:tcPr>
          <w:p>
            <w:pPr>
              <w:pStyle w:val="style0"/>
              <w:spacing w:lineRule="auto" w:line="360"/>
              <w:rPr>
                <w:sz w:val="20"/>
                <w:szCs w:val="20"/>
              </w:rPr>
            </w:pPr>
            <w:r>
              <w:rPr>
                <w:rFonts w:ascii="Times New Roman" w:cs="Times New Roman" w:eastAsia="Calibri" w:hAnsi="Times New Roman"/>
                <w:b/>
                <w:bCs/>
                <w:kern w:val="2"/>
                <w:sz w:val="20"/>
                <w:szCs w:val="20"/>
              </w:rPr>
              <w:t xml:space="preserve">Do you use recreational drugs?     </w:t>
            </w:r>
          </w:p>
          <w:p>
            <w:pPr>
              <w:pStyle w:val="style0"/>
              <w:spacing w:lineRule="auto" w:line="360"/>
              <w:rPr>
                <w:sz w:val="20"/>
                <w:szCs w:val="20"/>
              </w:rPr>
            </w:pPr>
            <w:r>
              <w:rPr>
                <w:rFonts w:ascii="Times New Roman" w:cs="Times New Roman" w:eastAsia="Calibri" w:hAnsi="Times New Roman"/>
                <w:kern w:val="2"/>
                <w:sz w:val="20"/>
                <w:szCs w:val="20"/>
              </w:rPr>
              <w:t xml:space="preserve">Yes       </w:t>
            </w:r>
          </w:p>
          <w:p>
            <w:pPr>
              <w:pStyle w:val="style0"/>
              <w:spacing w:lineRule="auto" w:line="360"/>
              <w:rPr>
                <w:sz w:val="20"/>
                <w:szCs w:val="20"/>
              </w:rPr>
            </w:pPr>
            <w:r>
              <w:rPr>
                <w:rFonts w:ascii="Times New Roman" w:cs="Times New Roman" w:eastAsia="Calibri" w:hAnsi="Times New Roman"/>
                <w:kern w:val="2"/>
                <w:sz w:val="20"/>
                <w:szCs w:val="20"/>
              </w:rPr>
              <w:t>No</w:t>
            </w:r>
          </w:p>
        </w:tc>
        <w:tc>
          <w:tcPr>
            <w:tcW w:w="1317"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12 (40.0)</w:t>
            </w:r>
          </w:p>
          <w:p>
            <w:pPr>
              <w:pStyle w:val="style0"/>
              <w:spacing w:lineRule="auto" w:line="360"/>
              <w:rPr>
                <w:sz w:val="20"/>
                <w:szCs w:val="20"/>
              </w:rPr>
            </w:pPr>
            <w:r>
              <w:rPr>
                <w:rFonts w:ascii="Times New Roman" w:cs="Times New Roman" w:eastAsia="Calibri" w:hAnsi="Times New Roman"/>
                <w:kern w:val="2"/>
                <w:sz w:val="20"/>
                <w:szCs w:val="20"/>
              </w:rPr>
              <w:t>25 (20.8)</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3.840 (1.830-6.570)</w:t>
            </w:r>
          </w:p>
          <w:p>
            <w:pPr>
              <w:pStyle w:val="style0"/>
              <w:spacing w:lineRule="auto" w:line="360"/>
              <w:rPr>
                <w:sz w:val="20"/>
                <w:szCs w:val="20"/>
              </w:rPr>
            </w:pPr>
            <w:r>
              <w:rPr>
                <w:rFonts w:ascii="Times New Roman" w:cs="Times New Roman" w:eastAsia="Calibri" w:hAnsi="Times New Roman"/>
                <w:kern w:val="2"/>
                <w:sz w:val="20"/>
                <w:szCs w:val="20"/>
              </w:rPr>
              <w:t>1</w:t>
            </w:r>
          </w:p>
        </w:tc>
        <w:tc>
          <w:tcPr>
            <w:tcW w:w="84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0.001</w:t>
            </w:r>
          </w:p>
        </w:tc>
        <w:tc>
          <w:tcPr>
            <w:tcW w:w="2269"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3.270 (1.580-6.520)</w:t>
            </w:r>
          </w:p>
          <w:p>
            <w:pPr>
              <w:pStyle w:val="style0"/>
              <w:spacing w:lineRule="auto" w:line="360"/>
              <w:rPr>
                <w:sz w:val="20"/>
                <w:szCs w:val="20"/>
              </w:rPr>
            </w:pPr>
            <w:r>
              <w:rPr>
                <w:rFonts w:ascii="Times New Roman" w:cs="Times New Roman" w:eastAsia="Calibri" w:hAnsi="Times New Roman"/>
                <w:kern w:val="2"/>
                <w:sz w:val="20"/>
                <w:szCs w:val="20"/>
              </w:rPr>
              <w:t>1</w:t>
            </w:r>
          </w:p>
        </w:tc>
        <w:tc>
          <w:tcPr>
            <w:tcW w:w="851" w:type="dxa"/>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0.005</w:t>
            </w:r>
          </w:p>
        </w:tc>
      </w:tr>
      <w:tr>
        <w:tblPrEx/>
        <w:trPr/>
        <w:tc>
          <w:tcPr>
            <w:tcW w:w="3077" w:type="dxa"/>
            <w:tcBorders>
              <w:bottom w:val="single" w:sz="4" w:space="0" w:color="auto"/>
            </w:tcBorders>
            <w:tcMar>
              <w:top w:w="0" w:type="dxa"/>
              <w:left w:w="108" w:type="dxa"/>
              <w:bottom w:w="0" w:type="dxa"/>
              <w:right w:w="108" w:type="dxa"/>
            </w:tcMar>
          </w:tcPr>
          <w:p>
            <w:pPr>
              <w:pStyle w:val="style0"/>
              <w:spacing w:lineRule="auto" w:line="360"/>
              <w:jc w:val="both"/>
              <w:rPr>
                <w:sz w:val="20"/>
                <w:szCs w:val="20"/>
              </w:rPr>
            </w:pPr>
            <w:r>
              <w:rPr>
                <w:rFonts w:ascii="Times New Roman" w:cs="Times New Roman" w:eastAsia="Calibri" w:hAnsi="Times New Roman"/>
                <w:b/>
                <w:bCs/>
                <w:kern w:val="2"/>
                <w:sz w:val="20"/>
                <w:szCs w:val="20"/>
              </w:rPr>
              <w:t xml:space="preserve">Do you follow a specific diet?   </w:t>
            </w:r>
          </w:p>
          <w:p>
            <w:pPr>
              <w:pStyle w:val="style0"/>
              <w:spacing w:lineRule="auto" w:line="360"/>
              <w:jc w:val="both"/>
              <w:rPr>
                <w:sz w:val="20"/>
                <w:szCs w:val="20"/>
              </w:rPr>
            </w:pPr>
            <w:r>
              <w:rPr>
                <w:rFonts w:ascii="Times New Roman" w:cs="Times New Roman" w:eastAsia="Calibri" w:hAnsi="Times New Roman"/>
                <w:kern w:val="2"/>
                <w:sz w:val="20"/>
                <w:szCs w:val="20"/>
              </w:rPr>
              <w:t xml:space="preserve">Yes     </w:t>
            </w:r>
          </w:p>
          <w:p>
            <w:pPr>
              <w:pStyle w:val="style0"/>
              <w:spacing w:lineRule="auto" w:line="360"/>
              <w:jc w:val="both"/>
              <w:rPr>
                <w:sz w:val="20"/>
                <w:szCs w:val="20"/>
              </w:rPr>
            </w:pPr>
            <w:r>
              <w:rPr>
                <w:rFonts w:ascii="Times New Roman" w:cs="Times New Roman" w:eastAsia="Calibri" w:hAnsi="Times New Roman"/>
                <w:kern w:val="2"/>
                <w:sz w:val="20"/>
                <w:szCs w:val="20"/>
              </w:rPr>
              <w:t>No</w:t>
            </w:r>
          </w:p>
        </w:tc>
        <w:tc>
          <w:tcPr>
            <w:tcW w:w="1317" w:type="dxa"/>
            <w:tcBorders>
              <w:bottom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8 (32.0)</w:t>
            </w:r>
          </w:p>
          <w:p>
            <w:pPr>
              <w:pStyle w:val="style0"/>
              <w:spacing w:lineRule="auto" w:line="360"/>
              <w:rPr>
                <w:sz w:val="20"/>
                <w:szCs w:val="20"/>
              </w:rPr>
            </w:pPr>
            <w:r>
              <w:rPr>
                <w:rFonts w:ascii="Times New Roman" w:cs="Times New Roman" w:eastAsia="Calibri" w:hAnsi="Times New Roman"/>
                <w:kern w:val="2"/>
                <w:sz w:val="20"/>
                <w:szCs w:val="20"/>
              </w:rPr>
              <w:t>29 (23.2)</w:t>
            </w:r>
          </w:p>
        </w:tc>
        <w:tc>
          <w:tcPr>
            <w:tcW w:w="2269" w:type="dxa"/>
            <w:tcBorders>
              <w:bottom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1.250 (0.680-2.290)</w:t>
            </w:r>
          </w:p>
          <w:p>
            <w:pPr>
              <w:pStyle w:val="style0"/>
              <w:spacing w:lineRule="auto" w:line="360"/>
              <w:rPr>
                <w:sz w:val="20"/>
                <w:szCs w:val="20"/>
              </w:rPr>
            </w:pPr>
            <w:r>
              <w:rPr>
                <w:rFonts w:ascii="Times New Roman" w:cs="Times New Roman" w:eastAsia="Calibri" w:hAnsi="Times New Roman"/>
                <w:kern w:val="2"/>
                <w:sz w:val="20"/>
                <w:szCs w:val="20"/>
              </w:rPr>
              <w:t>1</w:t>
            </w:r>
          </w:p>
        </w:tc>
        <w:tc>
          <w:tcPr>
            <w:tcW w:w="849" w:type="dxa"/>
            <w:tcBorders>
              <w:bottom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0.290</w:t>
            </w:r>
          </w:p>
        </w:tc>
        <w:tc>
          <w:tcPr>
            <w:tcW w:w="2269" w:type="dxa"/>
            <w:tcBorders>
              <w:bottom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1.100 (0.550-2.200)</w:t>
            </w:r>
          </w:p>
          <w:p>
            <w:pPr>
              <w:pStyle w:val="style0"/>
              <w:spacing w:lineRule="auto" w:line="360"/>
              <w:rPr>
                <w:sz w:val="20"/>
                <w:szCs w:val="20"/>
              </w:rPr>
            </w:pPr>
            <w:r>
              <w:rPr>
                <w:rFonts w:ascii="Times New Roman" w:cs="Times New Roman" w:eastAsia="Calibri" w:hAnsi="Times New Roman"/>
                <w:kern w:val="2"/>
                <w:sz w:val="20"/>
                <w:szCs w:val="20"/>
              </w:rPr>
              <w:t>1</w:t>
            </w:r>
          </w:p>
        </w:tc>
        <w:tc>
          <w:tcPr>
            <w:tcW w:w="851" w:type="dxa"/>
            <w:tcBorders>
              <w:bottom w:val="single" w:sz="4" w:space="0" w:color="auto"/>
            </w:tcBorders>
            <w:tcMar>
              <w:top w:w="0" w:type="dxa"/>
              <w:left w:w="108" w:type="dxa"/>
              <w:bottom w:w="0" w:type="dxa"/>
              <w:right w:w="108" w:type="dxa"/>
            </w:tcMar>
          </w:tcPr>
          <w:p>
            <w:pPr>
              <w:pStyle w:val="style0"/>
              <w:spacing w:lineRule="auto" w:line="360"/>
              <w:rPr>
                <w:sz w:val="20"/>
                <w:szCs w:val="20"/>
              </w:rPr>
            </w:pPr>
          </w:p>
          <w:p>
            <w:pPr>
              <w:pStyle w:val="style0"/>
              <w:spacing w:lineRule="auto" w:line="360"/>
              <w:rPr>
                <w:sz w:val="20"/>
                <w:szCs w:val="20"/>
              </w:rPr>
            </w:pPr>
          </w:p>
          <w:p>
            <w:pPr>
              <w:pStyle w:val="style0"/>
              <w:spacing w:lineRule="auto" w:line="360"/>
              <w:rPr>
                <w:sz w:val="20"/>
                <w:szCs w:val="20"/>
              </w:rPr>
            </w:pPr>
            <w:r>
              <w:rPr>
                <w:rFonts w:ascii="Times New Roman" w:cs="Times New Roman" w:eastAsia="Calibri" w:hAnsi="Times New Roman"/>
                <w:kern w:val="2"/>
                <w:sz w:val="20"/>
                <w:szCs w:val="20"/>
              </w:rPr>
              <w:t>0.460</w:t>
            </w:r>
          </w:p>
        </w:tc>
      </w:tr>
    </w:tbl>
    <w:p>
      <w:pPr>
        <w:pStyle w:val="style0"/>
        <w:jc w:val="center"/>
        <w:rPr>
          <w:rFonts w:ascii="Times New Roman" w:cs="Times New Roman" w:eastAsia="Calibri" w:hAnsi="Times New Roman"/>
          <w:b/>
          <w:bCs/>
          <w:kern w:val="2"/>
          <w:sz w:val="20"/>
          <w:szCs w:val="20"/>
        </w:rPr>
      </w:pPr>
      <w:r>
        <w:rPr>
          <w:rFonts w:ascii="Times New Roman" w:cs="Times New Roman" w:eastAsia="Calibri" w:hAnsi="Times New Roman"/>
          <w:b/>
          <w:bCs/>
          <w:kern w:val="2"/>
          <w:sz w:val="20"/>
          <w:szCs w:val="20"/>
        </w:rPr>
        <w:t>Table 4:</w:t>
      </w:r>
      <w:r>
        <w:rPr>
          <w:rFonts w:ascii="Times New Roman" w:cs="Times New Roman" w:eastAsia="Calibri" w:hAnsi="Times New Roman"/>
          <w:b/>
          <w:bCs/>
          <w:kern w:val="2"/>
          <w:sz w:val="20"/>
          <w:szCs w:val="20"/>
        </w:rPr>
        <w:t xml:space="preserve"> Univariate and multivariate analysis of clinical factors for prevalence of liver dysfunction among HIV-positive patients atte</w:t>
      </w:r>
      <w:r>
        <w:rPr>
          <w:rFonts w:ascii="Times New Roman" w:cs="Times New Roman" w:eastAsia="Calibri" w:hAnsi="Times New Roman"/>
          <w:b/>
          <w:bCs/>
          <w:kern w:val="2"/>
          <w:sz w:val="20"/>
          <w:szCs w:val="20"/>
        </w:rPr>
        <w:t>n</w:t>
      </w:r>
      <w:r>
        <w:rPr>
          <w:rFonts w:ascii="Times New Roman" w:cs="Times New Roman" w:eastAsia="Calibri" w:hAnsi="Times New Roman"/>
          <w:b/>
          <w:bCs/>
          <w:kern w:val="2"/>
          <w:sz w:val="20"/>
          <w:szCs w:val="20"/>
        </w:rPr>
        <w:t>ding the ESUT Teaching Hospital</w:t>
      </w:r>
    </w:p>
    <w:p>
      <w:pPr>
        <w:pStyle w:val="style0"/>
        <w:jc w:val="center"/>
        <w:rPr>
          <w:rFonts w:ascii="Times New Roman" w:cs="Times New Roman" w:eastAsia="Calibri" w:hAnsi="Times New Roman"/>
          <w:b/>
          <w:bCs/>
          <w:kern w:val="2"/>
          <w:sz w:val="20"/>
          <w:szCs w:val="20"/>
        </w:rPr>
      </w:pPr>
    </w:p>
    <w:p>
      <w:pPr>
        <w:pStyle w:val="style0"/>
        <w:jc w:val="center"/>
        <w:rPr>
          <w:rFonts w:ascii="Times New Roman" w:cs="Times New Roman" w:eastAsia="Calibri" w:hAnsi="Times New Roman"/>
          <w:b/>
          <w:bCs/>
          <w:kern w:val="2"/>
          <w:sz w:val="20"/>
          <w:szCs w:val="20"/>
        </w:rPr>
      </w:pPr>
    </w:p>
    <w:p>
      <w:pPr>
        <w:pStyle w:val="style0"/>
        <w:rPr>
          <w:rFonts w:ascii="Times New Roman" w:cs="Times New Roman" w:eastAsia="Calibri" w:hAnsi="Times New Roman"/>
          <w:b/>
          <w:bCs/>
          <w:kern w:val="2"/>
          <w:sz w:val="20"/>
          <w:szCs w:val="20"/>
        </w:rPr>
        <w:sectPr>
          <w:type w:val="continuous"/>
          <w:pgSz w:w="12240" w:h="15840" w:orient="portrait"/>
          <w:pgMar w:top="1440" w:right="1440" w:bottom="1440" w:left="1440" w:header="708" w:footer="708" w:gutter="0"/>
          <w:cols w:space="708"/>
          <w:docGrid w:linePitch="360"/>
        </w:sectPr>
      </w:pPr>
    </w:p>
    <w:p>
      <w:pPr>
        <w:pStyle w:val="style0"/>
        <w:rPr>
          <w:rFonts w:ascii="Times New Roman" w:cs="Times New Roman" w:hAnsi="Times New Roman"/>
          <w:sz w:val="20"/>
          <w:szCs w:val="20"/>
        </w:rPr>
      </w:pPr>
      <w:r>
        <w:rPr>
          <w:rFonts w:ascii="Times New Roman" w:cs="Times New Roman" w:hAnsi="Times New Roman"/>
          <w:sz w:val="20"/>
          <w:szCs w:val="20"/>
        </w:rPr>
        <w:t xml:space="preserve">V. DISCUSSION </w:t>
      </w:r>
    </w:p>
    <w:p>
      <w:pPr>
        <w:pStyle w:val="style0"/>
        <w:rPr>
          <w:rFonts w:ascii="Times New Roman" w:cs="Times New Roman" w:hAnsi="Times New Roman"/>
          <w:sz w:val="20"/>
          <w:szCs w:val="20"/>
        </w:rPr>
      </w:pPr>
      <w:r>
        <w:rPr>
          <w:rFonts w:ascii="Times New Roman" w:cs="Times New Roman" w:hAnsi="Times New Roman"/>
          <w:sz w:val="20"/>
          <w:szCs w:val="20"/>
        </w:rPr>
        <w:t>Discussion</w:t>
      </w:r>
    </w:p>
    <w:p>
      <w:pPr>
        <w:pStyle w:val="style0"/>
        <w:rPr>
          <w:rFonts w:ascii="Times New Roman" w:cs="Times New Roman" w:hAnsi="Times New Roman"/>
          <w:sz w:val="20"/>
          <w:szCs w:val="20"/>
        </w:rPr>
      </w:pPr>
      <w:r>
        <w:rPr>
          <w:rFonts w:ascii="Times New Roman" w:cs="Times New Roman" w:hAnsi="Times New Roman"/>
          <w:sz w:val="20"/>
          <w:szCs w:val="20"/>
        </w:rPr>
        <w:t xml:space="preserve">The study conducted at ESUT Teaching Hospital revealed a notable prevalence of liver dysfunction among HIV-positive patients, with 24.7% of participants exhibiting elevated liver enzyme levels indicative of liver impairment. This finding is consistent with results from </w:t>
      </w:r>
      <w:r>
        <w:rPr>
          <w:rFonts w:ascii="Times New Roman" w:cs="Times New Roman" w:hAnsi="Times New Roman"/>
          <w:sz w:val="20"/>
          <w:szCs w:val="20"/>
        </w:rPr>
        <w:t>Kranzer</w:t>
      </w:r>
      <w:r>
        <w:rPr>
          <w:rFonts w:ascii="Times New Roman" w:cs="Times New Roman" w:hAnsi="Times New Roman"/>
          <w:sz w:val="20"/>
          <w:szCs w:val="20"/>
        </w:rPr>
        <w:t xml:space="preserve"> et al. (2021), who reported a prevalence of approximately 30% in a similar demographic in South Africa. The similarity in findings underscores the significance of liver dysfunction as a common complication in HIV-positive populations across different regions.</w:t>
      </w:r>
    </w:p>
    <w:p>
      <w:pPr>
        <w:pStyle w:val="style0"/>
        <w:rPr>
          <w:rFonts w:ascii="Times New Roman" w:cs="Times New Roman" w:hAnsi="Times New Roman"/>
          <w:sz w:val="20"/>
          <w:szCs w:val="20"/>
        </w:rPr>
      </w:pPr>
      <w:r>
        <w:rPr>
          <w:rFonts w:ascii="Times New Roman" w:cs="Times New Roman" w:hAnsi="Times New Roman"/>
          <w:sz w:val="20"/>
          <w:szCs w:val="20"/>
        </w:rPr>
        <w:t xml:space="preserve">The data from this study (Table 1) indicates that out of 150 patients evaluated, 37 cases of liver dysfunction were identified. This prevalence rate highlights the need for healthcare providers to be vigilant in monitoring liver health among HIV-positive individuals. Many healthcare professionals may overlook liver dysfunction, attributing symptoms solely to HIV-related issues. As </w:t>
      </w:r>
      <w:r>
        <w:rPr>
          <w:rFonts w:ascii="Times New Roman" w:cs="Times New Roman" w:hAnsi="Times New Roman"/>
          <w:sz w:val="20"/>
          <w:szCs w:val="20"/>
        </w:rPr>
        <w:t>Kranzer</w:t>
      </w:r>
      <w:r>
        <w:rPr>
          <w:rFonts w:ascii="Times New Roman" w:cs="Times New Roman" w:hAnsi="Times New Roman"/>
          <w:sz w:val="20"/>
          <w:szCs w:val="20"/>
        </w:rPr>
        <w:t xml:space="preserve"> et al. (2021) suggest, this gap in clinical awareness could lead to delayed diagnoses and inadequate management of </w:t>
      </w:r>
      <w:r>
        <w:rPr>
          <w:rFonts w:ascii="Times New Roman" w:cs="Times New Roman" w:hAnsi="Times New Roman"/>
          <w:sz w:val="20"/>
          <w:szCs w:val="20"/>
        </w:rPr>
        <w:t>liver health. Therefore, implementing routine liver function tests (LFTs) in clinical practice is essential for early detection and intervention.</w:t>
      </w:r>
    </w:p>
    <w:p>
      <w:pPr>
        <w:pStyle w:val="style0"/>
        <w:rPr>
          <w:rFonts w:ascii="Times New Roman" w:cs="Times New Roman" w:hAnsi="Times New Roman"/>
          <w:sz w:val="20"/>
          <w:szCs w:val="20"/>
        </w:rPr>
      </w:pPr>
      <w:r>
        <w:rPr>
          <w:rFonts w:ascii="Times New Roman" w:cs="Times New Roman" w:hAnsi="Times New Roman"/>
          <w:sz w:val="20"/>
          <w:szCs w:val="20"/>
        </w:rPr>
        <w:t xml:space="preserve">The analysis of liver enzyme profiles in Table 2 showed that abnormalities in aspartate aminotransferase (AST) were the most prevalent, affecting 86.5% of patients with liver dysfunction. This finding aligns with the work of </w:t>
      </w:r>
      <w:r>
        <w:rPr>
          <w:rFonts w:ascii="Times New Roman" w:cs="Times New Roman" w:hAnsi="Times New Roman"/>
          <w:sz w:val="20"/>
          <w:szCs w:val="20"/>
        </w:rPr>
        <w:t>Olusola</w:t>
      </w:r>
      <w:r>
        <w:rPr>
          <w:rFonts w:ascii="Times New Roman" w:cs="Times New Roman" w:hAnsi="Times New Roman"/>
          <w:sz w:val="20"/>
          <w:szCs w:val="20"/>
        </w:rPr>
        <w:t xml:space="preserve"> et al. (2020), who emphasized that AST is a sensitive marker for liver injury, especially in patients with viral infections, including HIV. Elevated AST levels often correlate with the severity of liver damage, making it imperative for clinicians to monitor this enzyme carefully.</w:t>
      </w:r>
    </w:p>
    <w:p>
      <w:pPr>
        <w:pStyle w:val="style0"/>
        <w:rPr>
          <w:rFonts w:ascii="Times New Roman" w:cs="Times New Roman" w:hAnsi="Times New Roman"/>
          <w:sz w:val="20"/>
          <w:szCs w:val="20"/>
        </w:rPr>
      </w:pPr>
      <w:r>
        <w:rPr>
          <w:rFonts w:ascii="Times New Roman" w:cs="Times New Roman" w:hAnsi="Times New Roman"/>
          <w:sz w:val="20"/>
          <w:szCs w:val="20"/>
        </w:rPr>
        <w:t xml:space="preserve">In contrast, the study found a low prevalence of alanine aminotransferase (ALT) dysfunction, reported at 2.7%. This discrepancy diverges from findings by Wong et al. (2022), who noted that ALT abnormalities are frequently seen in HIV-positive populations, especially those co-infected with hepatitis B or C. The lower rates of ALT dysfunction in this study may indicate differences in underlying health conditions, risk behaviors, or access to </w:t>
      </w:r>
      <w:r>
        <w:rPr>
          <w:rFonts w:ascii="Times New Roman" w:cs="Times New Roman" w:hAnsi="Times New Roman"/>
          <w:sz w:val="20"/>
          <w:szCs w:val="20"/>
        </w:rPr>
        <w:t xml:space="preserve">healthcare services among the studied population. </w:t>
      </w:r>
      <w:r>
        <w:rPr>
          <w:rFonts w:ascii="Times New Roman" w:cs="Times New Roman" w:hAnsi="Times New Roman"/>
          <w:sz w:val="20"/>
          <w:szCs w:val="20"/>
        </w:rPr>
        <w:t>Chibueze</w:t>
      </w:r>
      <w:r>
        <w:rPr>
          <w:rFonts w:ascii="Times New Roman" w:cs="Times New Roman" w:hAnsi="Times New Roman"/>
          <w:sz w:val="20"/>
          <w:szCs w:val="20"/>
        </w:rPr>
        <w:t xml:space="preserve"> et al. (2023) further highlighted that the presence of liver fibrosis significantly correlates with elevated ALT levels, suggesting that the clinical context and progression of liver disease play a vital role in interpreting enzyme levels. These findings emphasize the need for comprehensive assessments of liver function among HIV-positive patients to guide treatment decisions effectively.</w:t>
      </w:r>
    </w:p>
    <w:p>
      <w:pPr>
        <w:pStyle w:val="style0"/>
        <w:rPr>
          <w:rFonts w:ascii="Times New Roman" w:cs="Times New Roman" w:hAnsi="Times New Roman"/>
          <w:sz w:val="20"/>
          <w:szCs w:val="20"/>
        </w:rPr>
      </w:pPr>
      <w:r>
        <w:rPr>
          <w:rFonts w:ascii="Times New Roman" w:cs="Times New Roman" w:hAnsi="Times New Roman"/>
          <w:sz w:val="20"/>
          <w:szCs w:val="20"/>
        </w:rPr>
        <w:t>Table 3, the demographic analysis revealed significant associations between liver dysfunction and factors such as age and gender. Notably, patients aged over 60 exhibited a higher prevalence of liver dysfunction, supporting findings from Wong et al. (2022), who reported that older adults are at greater risk for liver complications in HIV-positive populations. Their research indicated that the prevalence of liver dysfunction increased significantly in older age groups, with individuals over 60 years showing a prevalence rate of 40%. This heightened susceptibility can be attributed to age-related physiological changes and the cumulative effects of long-term HIV infection and antiretroviral therapy (ART).</w:t>
      </w:r>
    </w:p>
    <w:p>
      <w:pPr>
        <w:pStyle w:val="style0"/>
        <w:rPr>
          <w:rFonts w:ascii="Times New Roman" w:cs="Times New Roman" w:hAnsi="Times New Roman"/>
          <w:sz w:val="20"/>
          <w:szCs w:val="20"/>
        </w:rPr>
      </w:pPr>
      <w:r>
        <w:rPr>
          <w:rFonts w:ascii="Times New Roman" w:cs="Times New Roman" w:hAnsi="Times New Roman"/>
          <w:sz w:val="20"/>
          <w:szCs w:val="20"/>
        </w:rPr>
        <w:t xml:space="preserve">Additionally, the study found that males had a higher prevalence of liver dysfunction (30.8%) compared to females (20.0%). This finding aligns with research by </w:t>
      </w:r>
      <w:r>
        <w:rPr>
          <w:rFonts w:ascii="Times New Roman" w:cs="Times New Roman" w:hAnsi="Times New Roman"/>
          <w:sz w:val="20"/>
          <w:szCs w:val="20"/>
        </w:rPr>
        <w:t>Chibueze</w:t>
      </w:r>
      <w:r>
        <w:rPr>
          <w:rFonts w:ascii="Times New Roman" w:cs="Times New Roman" w:hAnsi="Times New Roman"/>
          <w:sz w:val="20"/>
          <w:szCs w:val="20"/>
        </w:rPr>
        <w:t xml:space="preserve"> et al. (2023), which reported that male patients are significantly more likely to experience liver disease, with a prevalence of 35% in males versus 18% in females. This gender disparity may stem from higher rates of alcohol consumption and co-infections among males. A systematic review by Hsu et al. (2022) emphasized that men are often more vulnerable to engaging in behaviors that exacerbate liver disease. This highlights the need for tailored interventions that address the specific risk factors associated with different demographic groups.</w:t>
      </w:r>
    </w:p>
    <w:p>
      <w:pPr>
        <w:pStyle w:val="style0"/>
        <w:rPr>
          <w:rFonts w:ascii="Times New Roman" w:cs="Times New Roman" w:hAnsi="Times New Roman"/>
          <w:sz w:val="20"/>
          <w:szCs w:val="20"/>
        </w:rPr>
      </w:pPr>
      <w:r>
        <w:rPr>
          <w:rFonts w:ascii="Times New Roman" w:cs="Times New Roman" w:hAnsi="Times New Roman"/>
          <w:sz w:val="20"/>
          <w:szCs w:val="20"/>
        </w:rPr>
        <w:t xml:space="preserve">In Table 4, the study identified several clinical factors associated with liver dysfunction, including fatigue, jaundice, and dark urine. Fatigue was reported in 33.3% of patients with liver dysfunction and demonstrated strong associations in both univariate and multivariate analyses (p &lt; 0.01). These findings corroborate </w:t>
      </w:r>
      <w:r>
        <w:rPr>
          <w:rFonts w:ascii="Times New Roman" w:cs="Times New Roman" w:hAnsi="Times New Roman"/>
          <w:sz w:val="20"/>
          <w:szCs w:val="20"/>
        </w:rPr>
        <w:t>Chibueze</w:t>
      </w:r>
      <w:r>
        <w:rPr>
          <w:rFonts w:ascii="Times New Roman" w:cs="Times New Roman" w:hAnsi="Times New Roman"/>
          <w:sz w:val="20"/>
          <w:szCs w:val="20"/>
        </w:rPr>
        <w:t xml:space="preserve"> et al. (2023), which emphasized the importance of clinical symptoms in the early detection of liver dysfunction. Their study indicated that patients presenting with fatigue had 2.5 times higher odds of having liver dysfunction compared to those without this symptom.</w:t>
      </w:r>
    </w:p>
    <w:p>
      <w:pPr>
        <w:pStyle w:val="style0"/>
        <w:rPr>
          <w:rFonts w:ascii="Times New Roman" w:cs="Times New Roman" w:hAnsi="Times New Roman"/>
          <w:sz w:val="20"/>
          <w:szCs w:val="20"/>
        </w:rPr>
      </w:pPr>
      <w:r>
        <w:rPr>
          <w:rFonts w:ascii="Times New Roman" w:cs="Times New Roman" w:hAnsi="Times New Roman"/>
          <w:sz w:val="20"/>
          <w:szCs w:val="20"/>
        </w:rPr>
        <w:t xml:space="preserve">Furthermore, jaundice (35.0%) and dark urine (33.3%) were significantly associated with liver dysfunction, reinforcing their clinical importance in assessing liver health. </w:t>
      </w:r>
      <w:r>
        <w:rPr>
          <w:rFonts w:ascii="Times New Roman" w:cs="Times New Roman" w:hAnsi="Times New Roman"/>
          <w:sz w:val="20"/>
          <w:szCs w:val="20"/>
        </w:rPr>
        <w:t>Kranzer</w:t>
      </w:r>
      <w:r>
        <w:rPr>
          <w:rFonts w:ascii="Times New Roman" w:cs="Times New Roman" w:hAnsi="Times New Roman"/>
          <w:sz w:val="20"/>
          <w:szCs w:val="20"/>
        </w:rPr>
        <w:t xml:space="preserve"> et al. (2021) noted that jaundice often signifies more severe liver injury, making timely recognition of these symptoms crucial for effective medical intervention. The presence of these clinical indicators should prompt clinicians to conduct thorough evaluations of liver function in HIV-positive patients.</w:t>
      </w:r>
    </w:p>
    <w:p>
      <w:pPr>
        <w:pStyle w:val="style0"/>
        <w:rPr>
          <w:rFonts w:ascii="Times New Roman" w:cs="Times New Roman" w:hAnsi="Times New Roman"/>
          <w:sz w:val="20"/>
          <w:szCs w:val="20"/>
        </w:rPr>
      </w:pPr>
      <w:r>
        <w:rPr>
          <w:rFonts w:ascii="Times New Roman" w:cs="Times New Roman" w:hAnsi="Times New Roman"/>
          <w:sz w:val="20"/>
          <w:szCs w:val="20"/>
        </w:rPr>
        <w:t xml:space="preserve">Additionally, recent liver function tests (LFTs) were significantly associated with liver dysfunction prevalence (p &lt; 0.01). Patients who had undergone LFTs in the past six months exhibited a prevalence of 36.4%, reinforcing the recommendations from </w:t>
      </w:r>
      <w:r>
        <w:rPr>
          <w:rFonts w:ascii="Times New Roman" w:cs="Times New Roman" w:hAnsi="Times New Roman"/>
          <w:sz w:val="20"/>
          <w:szCs w:val="20"/>
        </w:rPr>
        <w:t>Kranzer</w:t>
      </w:r>
      <w:r>
        <w:rPr>
          <w:rFonts w:ascii="Times New Roman" w:cs="Times New Roman" w:hAnsi="Times New Roman"/>
          <w:sz w:val="20"/>
          <w:szCs w:val="20"/>
        </w:rPr>
        <w:t xml:space="preserve"> et al. (2021) for routine monitoring of liver health in HIV-positive individuals. Regular liver function assessments can lead to earlier diagnosis and intervention, ultimately improving patient outcomes. This underscores the critical need for healthcare providers to incorporate routine LFTs into standard care for HIV-positive patients.</w:t>
      </w:r>
    </w:p>
    <w:p>
      <w:pPr>
        <w:pStyle w:val="style0"/>
        <w:rPr>
          <w:rFonts w:ascii="Times New Roman" w:cs="Times New Roman" w:hAnsi="Times New Roman"/>
          <w:sz w:val="20"/>
          <w:szCs w:val="20"/>
        </w:rPr>
      </w:pPr>
      <w:r>
        <w:rPr>
          <w:rFonts w:ascii="Times New Roman" w:cs="Times New Roman" w:hAnsi="Times New Roman"/>
          <w:sz w:val="20"/>
          <w:szCs w:val="20"/>
        </w:rPr>
        <w:t>The findings of this study have significant implications for the clinical management of liver health among HIV-positive patients. First, integrating routine liver function tests into standard care protocols is crucial. Given the high prevalence of liver dysfunction, particularly among older patients and males, regular monitoring is essential for facilitating early detection and intervention.</w:t>
      </w:r>
    </w:p>
    <w:p>
      <w:pPr>
        <w:pStyle w:val="style0"/>
        <w:rPr>
          <w:rFonts w:ascii="Times New Roman" w:cs="Times New Roman" w:hAnsi="Times New Roman"/>
          <w:sz w:val="20"/>
          <w:szCs w:val="20"/>
        </w:rPr>
      </w:pPr>
      <w:r>
        <w:rPr>
          <w:rFonts w:ascii="Times New Roman" w:cs="Times New Roman" w:hAnsi="Times New Roman"/>
          <w:sz w:val="20"/>
          <w:szCs w:val="20"/>
        </w:rPr>
        <w:t>Second, patient education regarding the signs and symptoms of liver dysfunction is paramount. Healthcare providers should inform patients about the importance of reporting symptoms such as fatigue, jaundice, and abdominal pain, which can facilitate prompt medical attention. This aligns with recommendations from the World Health Organization (2022), emphasizing the role of patient education in improving health outcomes.</w:t>
      </w:r>
    </w:p>
    <w:p>
      <w:pPr>
        <w:pStyle w:val="style0"/>
        <w:rPr>
          <w:rFonts w:ascii="Times New Roman" w:cs="Times New Roman" w:hAnsi="Times New Roman"/>
          <w:sz w:val="20"/>
          <w:szCs w:val="20"/>
        </w:rPr>
      </w:pPr>
      <w:r>
        <w:rPr>
          <w:rFonts w:ascii="Times New Roman" w:cs="Times New Roman" w:hAnsi="Times New Roman"/>
          <w:sz w:val="20"/>
          <w:szCs w:val="20"/>
        </w:rPr>
        <w:t xml:space="preserve">Third, the management of HIV-positive patients should adopt a multidisciplinary approach that includes regular assessments of liver health. Collaboration among healthcare providers, including primary care physicians, infectious disease specialists, and </w:t>
      </w:r>
      <w:r>
        <w:rPr>
          <w:rFonts w:ascii="Times New Roman" w:cs="Times New Roman" w:hAnsi="Times New Roman"/>
          <w:sz w:val="20"/>
          <w:szCs w:val="20"/>
        </w:rPr>
        <w:t>hepatologists</w:t>
      </w:r>
      <w:r>
        <w:rPr>
          <w:rFonts w:ascii="Times New Roman" w:cs="Times New Roman" w:hAnsi="Times New Roman"/>
          <w:sz w:val="20"/>
          <w:szCs w:val="20"/>
        </w:rPr>
        <w:t xml:space="preserve">, is essential to ensure comprehensive care. Studies by </w:t>
      </w:r>
      <w:r>
        <w:rPr>
          <w:rFonts w:ascii="Times New Roman" w:cs="Times New Roman" w:hAnsi="Times New Roman"/>
          <w:sz w:val="20"/>
          <w:szCs w:val="20"/>
        </w:rPr>
        <w:t>Olusola</w:t>
      </w:r>
      <w:r>
        <w:rPr>
          <w:rFonts w:ascii="Times New Roman" w:cs="Times New Roman" w:hAnsi="Times New Roman"/>
          <w:sz w:val="20"/>
          <w:szCs w:val="20"/>
        </w:rPr>
        <w:t xml:space="preserve"> et al. (2020) and Wong et al. (2022) support this approach, indicating that coordinated care can significantly </w:t>
      </w:r>
      <w:r>
        <w:rPr>
          <w:rFonts w:ascii="Times New Roman" w:cs="Times New Roman" w:hAnsi="Times New Roman"/>
          <w:sz w:val="20"/>
          <w:szCs w:val="20"/>
        </w:rPr>
        <w:t>enhance patient outcomes and minimize the risk of liver complications.</w:t>
      </w: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sz w:val="20"/>
          <w:szCs w:val="20"/>
        </w:rPr>
        <w:t xml:space="preserve">V. CONCLUSION </w:t>
      </w:r>
    </w:p>
    <w:p>
      <w:pPr>
        <w:pStyle w:val="style0"/>
        <w:rPr>
          <w:rFonts w:ascii="Times New Roman" w:cs="Times New Roman" w:hAnsi="Times New Roman"/>
          <w:sz w:val="20"/>
          <w:szCs w:val="20"/>
        </w:rPr>
      </w:pPr>
      <w:r>
        <w:rPr>
          <w:rFonts w:ascii="Times New Roman" w:cs="Times New Roman" w:hAnsi="Times New Roman"/>
          <w:sz w:val="20"/>
          <w:szCs w:val="20"/>
        </w:rPr>
        <w:t xml:space="preserve">This study reveals a significant prevalence of liver dysfunction among HIV-positive patients at ESUT Teaching Hospital, with 24.7% exhibiting elevated liver enzymes, consistent with findings by </w:t>
      </w:r>
      <w:r>
        <w:rPr>
          <w:rFonts w:ascii="Times New Roman" w:cs="Times New Roman" w:hAnsi="Times New Roman"/>
          <w:sz w:val="20"/>
          <w:szCs w:val="20"/>
        </w:rPr>
        <w:t>Kranzer</w:t>
      </w:r>
      <w:r>
        <w:rPr>
          <w:rFonts w:ascii="Times New Roman" w:cs="Times New Roman" w:hAnsi="Times New Roman"/>
          <w:sz w:val="20"/>
          <w:szCs w:val="20"/>
        </w:rPr>
        <w:t xml:space="preserve"> et al. (2021). Notably, 86.5% of patients with liver dysfunction had elevated aspartate aminotransferase (AST) levels, while only 2.7% showed alanine aminotransferase (ALT) abnormalities. This highlights the need for prioritizing AST testing. Older patients, especially those over 60, had a higher prevalence (40%), and males were more affected (30.8%) than females (20.0%), suggesting targeted interventions are necessary. Symptoms like fatigue, jaundice, and dark urine were strongly linked to liver dysfunction. Routine liver function tests (LFTs) were effective, showing a 36.4% prevalence among recent tests.</w:t>
      </w:r>
    </w:p>
    <w:p>
      <w:pPr>
        <w:pStyle w:val="style0"/>
        <w:rPr>
          <w:rFonts w:ascii="Times New Roman" w:cs="Times New Roman" w:hAnsi="Times New Roman"/>
          <w:b/>
          <w:sz w:val="20"/>
          <w:szCs w:val="20"/>
        </w:rPr>
      </w:pPr>
      <w:r>
        <w:rPr>
          <w:rFonts w:ascii="Times New Roman" w:cs="Times New Roman" w:hAnsi="Times New Roman"/>
          <w:b/>
          <w:sz w:val="20"/>
          <w:szCs w:val="20"/>
        </w:rPr>
        <w:t>Recommendations</w:t>
      </w:r>
    </w:p>
    <w:p>
      <w:pPr>
        <w:pStyle w:val="style0"/>
        <w:rPr>
          <w:rFonts w:ascii="Times New Roman" w:cs="Times New Roman" w:hAnsi="Times New Roman"/>
          <w:sz w:val="20"/>
          <w:szCs w:val="20"/>
        </w:rPr>
      </w:pPr>
      <w:r>
        <w:rPr>
          <w:rFonts w:ascii="Times New Roman" w:cs="Times New Roman" w:hAnsi="Times New Roman"/>
          <w:sz w:val="20"/>
          <w:szCs w:val="20"/>
        </w:rPr>
        <w:t>Implement regular liver function tests for HIV-positive patients, with a particular focus on older adults and males. This proactive approach will facilitate early detection and effective management of liver health issues.</w:t>
      </w:r>
    </w:p>
    <w:p>
      <w:pPr>
        <w:pStyle w:val="style0"/>
        <w:rPr>
          <w:rFonts w:ascii="Times New Roman" w:cs="Times New Roman" w:hAnsi="Times New Roman"/>
          <w:sz w:val="20"/>
          <w:szCs w:val="20"/>
        </w:rPr>
      </w:pPr>
      <w:r>
        <w:rPr>
          <w:rFonts w:ascii="Times New Roman" w:cs="Times New Roman" w:hAnsi="Times New Roman"/>
          <w:sz w:val="20"/>
          <w:szCs w:val="20"/>
        </w:rPr>
        <w:t>Provide comprehensive training for healthcare professionals on the critical relationship between HIV and liver health. By increasing awareness of liver monitoring, clinicians can improve patient outcomes and reduce complications.</w:t>
      </w:r>
    </w:p>
    <w:p>
      <w:pPr>
        <w:pStyle w:val="style0"/>
        <w:rPr>
          <w:rFonts w:ascii="Times New Roman" w:cs="Times New Roman" w:hAnsi="Times New Roman"/>
          <w:sz w:val="20"/>
          <w:szCs w:val="20"/>
        </w:rPr>
      </w:pPr>
      <w:r>
        <w:rPr>
          <w:rFonts w:ascii="Times New Roman" w:cs="Times New Roman" w:hAnsi="Times New Roman"/>
          <w:sz w:val="20"/>
          <w:szCs w:val="20"/>
        </w:rPr>
        <w:t>Create tailored interventions for older patients and males, including personalized education and resources. These programs should aim to empower patients with knowledge and strategies to maintain liver health and mitigate associated risks</w:t>
      </w:r>
    </w:p>
    <w:p>
      <w:pPr>
        <w:pStyle w:val="style0"/>
        <w:jc w:val="center"/>
        <w:rPr>
          <w:rFonts w:ascii="Times New Roman" w:cs="Times New Roman" w:hAnsi="Times New Roman"/>
          <w:sz w:val="20"/>
          <w:szCs w:val="20"/>
        </w:rPr>
      </w:pPr>
      <w:r>
        <w:rPr>
          <w:rFonts w:ascii="Times New Roman" w:cs="Times New Roman" w:hAnsi="Times New Roman"/>
          <w:sz w:val="20"/>
          <w:szCs w:val="20"/>
        </w:rPr>
        <w:t>REFERENCES</w:t>
      </w:r>
    </w:p>
    <w:p>
      <w:pPr>
        <w:pStyle w:val="style0"/>
        <w:rPr>
          <w:rFonts w:ascii="Times New Roman" w:cs="Times New Roman" w:hAnsi="Times New Roman"/>
          <w:sz w:val="20"/>
          <w:szCs w:val="20"/>
        </w:rPr>
      </w:pPr>
      <w:r>
        <w:rPr>
          <w:rFonts w:ascii="Times New Roman" w:cs="Times New Roman" w:hAnsi="Times New Roman"/>
          <w:sz w:val="20"/>
          <w:szCs w:val="20"/>
        </w:rPr>
        <w:t xml:space="preserve">Adams, J. L., Sykes, C., Menezes, P., Pereira, G. F., Bowers, G. D., &amp; Patterson, K. B. (2021). Pharmacokinetics, safety, and acceptability of long-acting injectable </w:t>
      </w:r>
      <w:r>
        <w:rPr>
          <w:rFonts w:ascii="Times New Roman" w:cs="Times New Roman" w:hAnsi="Times New Roman"/>
          <w:sz w:val="20"/>
          <w:szCs w:val="20"/>
        </w:rPr>
        <w:t>cabotegravir</w:t>
      </w:r>
      <w:r>
        <w:rPr>
          <w:rFonts w:ascii="Times New Roman" w:cs="Times New Roman" w:hAnsi="Times New Roman"/>
          <w:sz w:val="20"/>
          <w:szCs w:val="20"/>
        </w:rPr>
        <w:t xml:space="preserve"> in low-income and middle-income countries: A </w:t>
      </w:r>
      <w:r>
        <w:rPr>
          <w:rFonts w:ascii="Times New Roman" w:cs="Times New Roman" w:hAnsi="Times New Roman"/>
          <w:sz w:val="20"/>
          <w:szCs w:val="20"/>
        </w:rPr>
        <w:t>randomised</w:t>
      </w:r>
      <w:r>
        <w:rPr>
          <w:rFonts w:ascii="Times New Roman" w:cs="Times New Roman" w:hAnsi="Times New Roman"/>
          <w:sz w:val="20"/>
          <w:szCs w:val="20"/>
        </w:rPr>
        <w:t>, open-label trial. The Lancet HIV, 8(9), e566-e575.</w:t>
      </w:r>
    </w:p>
    <w:p>
      <w:pPr>
        <w:pStyle w:val="style0"/>
        <w:rPr>
          <w:rFonts w:ascii="Times New Roman" w:cs="Times New Roman" w:hAnsi="Times New Roman"/>
          <w:sz w:val="20"/>
          <w:szCs w:val="20"/>
        </w:rPr>
      </w:pPr>
      <w:r>
        <w:rPr>
          <w:rFonts w:ascii="Times New Roman" w:cs="Times New Roman" w:hAnsi="Times New Roman"/>
          <w:sz w:val="20"/>
          <w:szCs w:val="20"/>
        </w:rPr>
        <w:t>Barritt</w:t>
      </w:r>
      <w:r>
        <w:rPr>
          <w:rFonts w:ascii="Times New Roman" w:cs="Times New Roman" w:hAnsi="Times New Roman"/>
          <w:sz w:val="20"/>
          <w:szCs w:val="20"/>
        </w:rPr>
        <w:t>, A. S., &amp; Yin, M. T. (2019). HIV and liver disease: An overview of the implications for treatment and management. HIV Medicine, 20(1), 1-10.</w:t>
      </w:r>
    </w:p>
    <w:p>
      <w:pPr>
        <w:pStyle w:val="style0"/>
        <w:rPr>
          <w:rFonts w:ascii="Times New Roman" w:cs="Times New Roman" w:hAnsi="Times New Roman"/>
          <w:sz w:val="20"/>
          <w:szCs w:val="20"/>
        </w:rPr>
      </w:pPr>
      <w:r>
        <w:rPr>
          <w:rFonts w:ascii="Times New Roman" w:cs="Times New Roman" w:hAnsi="Times New Roman"/>
          <w:sz w:val="20"/>
          <w:szCs w:val="20"/>
        </w:rPr>
        <w:t>Barritt</w:t>
      </w:r>
      <w:r>
        <w:rPr>
          <w:rFonts w:ascii="Times New Roman" w:cs="Times New Roman" w:hAnsi="Times New Roman"/>
          <w:sz w:val="20"/>
          <w:szCs w:val="20"/>
        </w:rPr>
        <w:t>, A. S., &amp; Yin, M. T. (2019). HIV and the liver. Clinics in Liver Disease, 23(3), 437-453. https://doi.org/10.1016/j.cld.2019.04.003</w:t>
      </w:r>
    </w:p>
    <w:p>
      <w:pPr>
        <w:pStyle w:val="style0"/>
        <w:rPr>
          <w:rFonts w:ascii="Times New Roman" w:cs="Times New Roman" w:hAnsi="Times New Roman"/>
          <w:sz w:val="20"/>
          <w:szCs w:val="20"/>
        </w:rPr>
      </w:pPr>
      <w:r>
        <w:rPr>
          <w:rFonts w:ascii="Times New Roman" w:cs="Times New Roman" w:hAnsi="Times New Roman"/>
          <w:sz w:val="20"/>
          <w:szCs w:val="20"/>
        </w:rPr>
        <w:t>Bavinton</w:t>
      </w:r>
      <w:r>
        <w:rPr>
          <w:rFonts w:ascii="Times New Roman" w:cs="Times New Roman" w:hAnsi="Times New Roman"/>
          <w:sz w:val="20"/>
          <w:szCs w:val="20"/>
        </w:rPr>
        <w:t xml:space="preserve">, B. R., Darling, K. E., &amp; </w:t>
      </w:r>
      <w:r>
        <w:rPr>
          <w:rFonts w:ascii="Times New Roman" w:cs="Times New Roman" w:hAnsi="Times New Roman"/>
          <w:sz w:val="20"/>
          <w:szCs w:val="20"/>
        </w:rPr>
        <w:t>Hoornenborg</w:t>
      </w:r>
      <w:r>
        <w:rPr>
          <w:rFonts w:ascii="Times New Roman" w:cs="Times New Roman" w:hAnsi="Times New Roman"/>
          <w:sz w:val="20"/>
          <w:szCs w:val="20"/>
        </w:rPr>
        <w:t>, E. (2022). Pre-exposure prophylaxis (</w:t>
      </w:r>
      <w:r>
        <w:rPr>
          <w:rFonts w:ascii="Times New Roman" w:cs="Times New Roman" w:hAnsi="Times New Roman"/>
          <w:sz w:val="20"/>
          <w:szCs w:val="20"/>
        </w:rPr>
        <w:t>PrEP</w:t>
      </w:r>
      <w:r>
        <w:rPr>
          <w:rFonts w:ascii="Times New Roman" w:cs="Times New Roman" w:hAnsi="Times New Roman"/>
          <w:sz w:val="20"/>
          <w:szCs w:val="20"/>
        </w:rPr>
        <w:t>) for HIV prevention. Drugs, 82(6), 635-653.</w:t>
      </w:r>
    </w:p>
    <w:p>
      <w:pPr>
        <w:pStyle w:val="style0"/>
        <w:rPr>
          <w:rFonts w:ascii="Times New Roman" w:cs="Times New Roman" w:hAnsi="Times New Roman"/>
          <w:sz w:val="20"/>
          <w:szCs w:val="20"/>
        </w:rPr>
      </w:pPr>
      <w:r>
        <w:rPr>
          <w:rFonts w:ascii="Times New Roman" w:cs="Times New Roman" w:hAnsi="Times New Roman"/>
          <w:sz w:val="20"/>
          <w:szCs w:val="20"/>
        </w:rPr>
        <w:t>Bavinton</w:t>
      </w:r>
      <w:r>
        <w:rPr>
          <w:rFonts w:ascii="Times New Roman" w:cs="Times New Roman" w:hAnsi="Times New Roman"/>
          <w:sz w:val="20"/>
          <w:szCs w:val="20"/>
        </w:rPr>
        <w:t xml:space="preserve">, B. R., </w:t>
      </w:r>
      <w:r>
        <w:rPr>
          <w:rFonts w:ascii="Times New Roman" w:cs="Times New Roman" w:hAnsi="Times New Roman"/>
          <w:sz w:val="20"/>
          <w:szCs w:val="20"/>
        </w:rPr>
        <w:t>Grinsztejn</w:t>
      </w:r>
      <w:r>
        <w:rPr>
          <w:rFonts w:ascii="Times New Roman" w:cs="Times New Roman" w:hAnsi="Times New Roman"/>
          <w:sz w:val="20"/>
          <w:szCs w:val="20"/>
        </w:rPr>
        <w:t>, B., &amp; Cohen, M. S. (2022). Advances in HIV prevention: A review. The Lancet HIV, 9(3), e197-e207.</w:t>
      </w:r>
    </w:p>
    <w:p>
      <w:pPr>
        <w:pStyle w:val="style0"/>
        <w:rPr>
          <w:rFonts w:ascii="Times New Roman" w:cs="Times New Roman" w:hAnsi="Times New Roman"/>
          <w:sz w:val="20"/>
          <w:szCs w:val="20"/>
        </w:rPr>
      </w:pPr>
      <w:r>
        <w:rPr>
          <w:rFonts w:ascii="Times New Roman" w:cs="Times New Roman" w:hAnsi="Times New Roman"/>
          <w:sz w:val="20"/>
          <w:szCs w:val="20"/>
        </w:rPr>
        <w:t>Briz</w:t>
      </w:r>
      <w:r>
        <w:rPr>
          <w:rFonts w:ascii="Times New Roman" w:cs="Times New Roman" w:hAnsi="Times New Roman"/>
          <w:sz w:val="20"/>
          <w:szCs w:val="20"/>
        </w:rPr>
        <w:t xml:space="preserve">, V., </w:t>
      </w:r>
      <w:r>
        <w:rPr>
          <w:rFonts w:ascii="Times New Roman" w:cs="Times New Roman" w:hAnsi="Times New Roman"/>
          <w:sz w:val="20"/>
          <w:szCs w:val="20"/>
        </w:rPr>
        <w:t>Palladino</w:t>
      </w:r>
      <w:r>
        <w:rPr>
          <w:rFonts w:ascii="Times New Roman" w:cs="Times New Roman" w:hAnsi="Times New Roman"/>
          <w:sz w:val="20"/>
          <w:szCs w:val="20"/>
        </w:rPr>
        <w:t xml:space="preserve">, C., Navarro, M., &amp; </w:t>
      </w:r>
      <w:r>
        <w:rPr>
          <w:rFonts w:ascii="Times New Roman" w:cs="Times New Roman" w:hAnsi="Times New Roman"/>
          <w:sz w:val="20"/>
          <w:szCs w:val="20"/>
        </w:rPr>
        <w:t>Noguera</w:t>
      </w:r>
      <w:r>
        <w:rPr>
          <w:rFonts w:ascii="Times New Roman" w:cs="Times New Roman" w:hAnsi="Times New Roman"/>
          <w:sz w:val="20"/>
          <w:szCs w:val="20"/>
        </w:rPr>
        <w:t>-Julian, A. (2021). Long-acting antiretroviral therapy for HIV infection in children and adolescents. Drugs, 81(5), 595-612.</w:t>
      </w:r>
    </w:p>
    <w:p>
      <w:pPr>
        <w:pStyle w:val="style0"/>
        <w:rPr>
          <w:rFonts w:ascii="Times New Roman" w:cs="Times New Roman" w:hAnsi="Times New Roman"/>
          <w:sz w:val="20"/>
          <w:szCs w:val="20"/>
        </w:rPr>
      </w:pPr>
      <w:r>
        <w:rPr>
          <w:rFonts w:ascii="Times New Roman" w:cs="Times New Roman" w:hAnsi="Times New Roman"/>
          <w:sz w:val="20"/>
          <w:szCs w:val="20"/>
        </w:rPr>
        <w:t>Briz</w:t>
      </w:r>
      <w:r>
        <w:rPr>
          <w:rFonts w:ascii="Times New Roman" w:cs="Times New Roman" w:hAnsi="Times New Roman"/>
          <w:sz w:val="20"/>
          <w:szCs w:val="20"/>
        </w:rPr>
        <w:t xml:space="preserve">, V., </w:t>
      </w:r>
      <w:r>
        <w:rPr>
          <w:rFonts w:ascii="Times New Roman" w:cs="Times New Roman" w:hAnsi="Times New Roman"/>
          <w:sz w:val="20"/>
          <w:szCs w:val="20"/>
        </w:rPr>
        <w:t>Riveiro-Barciela</w:t>
      </w:r>
      <w:r>
        <w:rPr>
          <w:rFonts w:ascii="Times New Roman" w:cs="Times New Roman" w:hAnsi="Times New Roman"/>
          <w:sz w:val="20"/>
          <w:szCs w:val="20"/>
        </w:rPr>
        <w:t>, M., &amp; Mena, A. (2021). Adherence to HIV treatment in young adults: Challenges and solutions. International Journal of Environmental Research and Public Health, 18(4), 2005.</w:t>
      </w:r>
    </w:p>
    <w:p>
      <w:pPr>
        <w:pStyle w:val="style0"/>
        <w:rPr>
          <w:rFonts w:ascii="Times New Roman" w:cs="Times New Roman" w:hAnsi="Times New Roman"/>
          <w:sz w:val="20"/>
          <w:szCs w:val="20"/>
        </w:rPr>
      </w:pPr>
      <w:r>
        <w:rPr>
          <w:rFonts w:ascii="Times New Roman" w:cs="Times New Roman" w:hAnsi="Times New Roman"/>
          <w:sz w:val="20"/>
          <w:szCs w:val="20"/>
        </w:rPr>
        <w:t>Cainelli</w:t>
      </w:r>
      <w:r>
        <w:rPr>
          <w:rFonts w:ascii="Times New Roman" w:cs="Times New Roman" w:hAnsi="Times New Roman"/>
          <w:sz w:val="20"/>
          <w:szCs w:val="20"/>
        </w:rPr>
        <w:t>, F., &amp; Vento, S. (2022). Liver function tests: Interpretation and clinical relevance. Cleveland Clinic Journal of Medicine, 89(3), 143-150.</w:t>
      </w:r>
    </w:p>
    <w:p>
      <w:pPr>
        <w:pStyle w:val="style0"/>
        <w:rPr>
          <w:rFonts w:ascii="Times New Roman" w:cs="Times New Roman" w:hAnsi="Times New Roman"/>
          <w:sz w:val="20"/>
          <w:szCs w:val="20"/>
        </w:rPr>
      </w:pPr>
      <w:r>
        <w:rPr>
          <w:rFonts w:ascii="Times New Roman" w:cs="Times New Roman" w:hAnsi="Times New Roman"/>
          <w:sz w:val="20"/>
          <w:szCs w:val="20"/>
        </w:rPr>
        <w:t>Cainelli</w:t>
      </w:r>
      <w:r>
        <w:rPr>
          <w:rFonts w:ascii="Times New Roman" w:cs="Times New Roman" w:hAnsi="Times New Roman"/>
          <w:sz w:val="20"/>
          <w:szCs w:val="20"/>
        </w:rPr>
        <w:t>, F., &amp; Vento, S. (2022). Viral hepatitis and liver dysfunction in HIV-infected patients. Infectious Disease Clinics of North America, 36(1), 1-20.</w:t>
      </w:r>
    </w:p>
    <w:p>
      <w:pPr>
        <w:pStyle w:val="style0"/>
        <w:rPr>
          <w:rFonts w:ascii="Times New Roman" w:cs="Times New Roman" w:hAnsi="Times New Roman"/>
          <w:sz w:val="20"/>
          <w:szCs w:val="20"/>
        </w:rPr>
      </w:pPr>
      <w:r>
        <w:rPr>
          <w:rFonts w:ascii="Times New Roman" w:cs="Times New Roman" w:hAnsi="Times New Roman"/>
          <w:sz w:val="20"/>
          <w:szCs w:val="20"/>
        </w:rPr>
        <w:t>Centers for Disease Control and Prevention. (2022). HIV basics. https://www.cdc.gov/HIV/basics/index.html</w:t>
      </w:r>
    </w:p>
    <w:p>
      <w:pPr>
        <w:pStyle w:val="style0"/>
        <w:rPr>
          <w:rFonts w:ascii="Times New Roman" w:cs="Times New Roman" w:hAnsi="Times New Roman"/>
          <w:sz w:val="20"/>
          <w:szCs w:val="20"/>
        </w:rPr>
      </w:pPr>
      <w:r>
        <w:rPr>
          <w:rFonts w:ascii="Times New Roman" w:cs="Times New Roman" w:hAnsi="Times New Roman"/>
          <w:sz w:val="20"/>
          <w:szCs w:val="20"/>
        </w:rPr>
        <w:t xml:space="preserve">Crane, H. M., </w:t>
      </w:r>
      <w:r>
        <w:rPr>
          <w:rFonts w:ascii="Times New Roman" w:cs="Times New Roman" w:hAnsi="Times New Roman"/>
          <w:sz w:val="20"/>
          <w:szCs w:val="20"/>
        </w:rPr>
        <w:t>Kadane</w:t>
      </w:r>
      <w:r>
        <w:rPr>
          <w:rFonts w:ascii="Times New Roman" w:cs="Times New Roman" w:hAnsi="Times New Roman"/>
          <w:sz w:val="20"/>
          <w:szCs w:val="20"/>
        </w:rPr>
        <w:t xml:space="preserve">, J. B., Crane, P. K., &amp; </w:t>
      </w:r>
      <w:r>
        <w:rPr>
          <w:rFonts w:ascii="Times New Roman" w:cs="Times New Roman" w:hAnsi="Times New Roman"/>
          <w:sz w:val="20"/>
          <w:szCs w:val="20"/>
        </w:rPr>
        <w:t>Kitahata</w:t>
      </w:r>
      <w:r>
        <w:rPr>
          <w:rFonts w:ascii="Times New Roman" w:cs="Times New Roman" w:hAnsi="Times New Roman"/>
          <w:sz w:val="20"/>
          <w:szCs w:val="20"/>
        </w:rPr>
        <w:t>, M. M. (2017). Diabetes mellitus among HIV-infected patients: What is the true prevalence and incidence? Journal of Acquired Immune Deficiency Syndromes, 76(3), 312-319. https://doi.org/10.1097/QAI.0000000000001506</w:t>
      </w:r>
    </w:p>
    <w:p>
      <w:pPr>
        <w:pStyle w:val="style0"/>
        <w:rPr>
          <w:rFonts w:ascii="Times New Roman" w:cs="Times New Roman" w:hAnsi="Times New Roman"/>
          <w:sz w:val="20"/>
          <w:szCs w:val="20"/>
        </w:rPr>
      </w:pPr>
      <w:r>
        <w:rPr>
          <w:rFonts w:ascii="Times New Roman" w:cs="Times New Roman" w:hAnsi="Times New Roman"/>
          <w:sz w:val="20"/>
          <w:szCs w:val="20"/>
        </w:rPr>
        <w:t>Crane, M., &amp; McMahon, J. H. (2017). The impact of HIV on liver function: Implications for management. HIV Medicine, 18(8), 579-587.</w:t>
      </w:r>
    </w:p>
    <w:p>
      <w:pPr>
        <w:pStyle w:val="style0"/>
        <w:rPr>
          <w:rFonts w:ascii="Times New Roman" w:cs="Times New Roman" w:hAnsi="Times New Roman"/>
          <w:sz w:val="20"/>
          <w:szCs w:val="20"/>
        </w:rPr>
      </w:pPr>
      <w:r>
        <w:rPr>
          <w:rFonts w:ascii="Times New Roman" w:cs="Times New Roman" w:hAnsi="Times New Roman"/>
          <w:sz w:val="20"/>
          <w:szCs w:val="20"/>
        </w:rPr>
        <w:t>Currier, J. S., &amp; McCormack, S. (2022). The changing landscape of HIV care: Advances and challenges. Journal of Infectious Diseases, 226(5), 740-748.</w:t>
      </w:r>
    </w:p>
    <w:p>
      <w:pPr>
        <w:pStyle w:val="style0"/>
        <w:rPr>
          <w:rFonts w:ascii="Times New Roman" w:cs="Times New Roman" w:hAnsi="Times New Roman"/>
          <w:sz w:val="20"/>
          <w:szCs w:val="20"/>
        </w:rPr>
      </w:pPr>
      <w:r>
        <w:rPr>
          <w:rFonts w:ascii="Times New Roman" w:cs="Times New Roman" w:hAnsi="Times New Roman"/>
          <w:sz w:val="20"/>
          <w:szCs w:val="20"/>
        </w:rPr>
        <w:t xml:space="preserve">Currier, J. S., </w:t>
      </w:r>
      <w:r>
        <w:rPr>
          <w:rFonts w:ascii="Times New Roman" w:cs="Times New Roman" w:hAnsi="Times New Roman"/>
          <w:sz w:val="20"/>
          <w:szCs w:val="20"/>
        </w:rPr>
        <w:t>Havlir</w:t>
      </w:r>
      <w:r>
        <w:rPr>
          <w:rFonts w:ascii="Times New Roman" w:cs="Times New Roman" w:hAnsi="Times New Roman"/>
          <w:sz w:val="20"/>
          <w:szCs w:val="20"/>
        </w:rPr>
        <w:t>, D. V., &amp; Sax, P. E. (2022). Antiretroviral therapy for HIV infection. New England Journal of Medicine, 386(1), 69-81.</w:t>
      </w:r>
    </w:p>
    <w:p>
      <w:pPr>
        <w:pStyle w:val="style0"/>
        <w:rPr>
          <w:rFonts w:ascii="Times New Roman" w:cs="Times New Roman" w:hAnsi="Times New Roman"/>
          <w:sz w:val="20"/>
          <w:szCs w:val="20"/>
        </w:rPr>
      </w:pPr>
      <w:r>
        <w:rPr>
          <w:rFonts w:ascii="Times New Roman" w:cs="Times New Roman" w:hAnsi="Times New Roman"/>
          <w:sz w:val="20"/>
          <w:szCs w:val="20"/>
        </w:rPr>
        <w:t>Dalakas</w:t>
      </w:r>
      <w:r>
        <w:rPr>
          <w:rFonts w:ascii="Times New Roman" w:cs="Times New Roman" w:hAnsi="Times New Roman"/>
          <w:sz w:val="20"/>
          <w:szCs w:val="20"/>
        </w:rPr>
        <w:t>, M. C. (2021). HIV and its impact on the immune system. Nature Reviews Immunology, 21(1), 21-35.</w:t>
      </w:r>
    </w:p>
    <w:p>
      <w:pPr>
        <w:pStyle w:val="style0"/>
        <w:rPr>
          <w:rFonts w:ascii="Times New Roman" w:cs="Times New Roman" w:hAnsi="Times New Roman"/>
          <w:sz w:val="20"/>
          <w:szCs w:val="20"/>
        </w:rPr>
      </w:pPr>
      <w:r>
        <w:rPr>
          <w:rFonts w:ascii="Times New Roman" w:cs="Times New Roman" w:hAnsi="Times New Roman"/>
          <w:sz w:val="20"/>
          <w:szCs w:val="20"/>
        </w:rPr>
        <w:t>Dalakas</w:t>
      </w:r>
      <w:r>
        <w:rPr>
          <w:rFonts w:ascii="Times New Roman" w:cs="Times New Roman" w:hAnsi="Times New Roman"/>
          <w:sz w:val="20"/>
          <w:szCs w:val="20"/>
        </w:rPr>
        <w:t>, M. C. (2021). Peripheral neuropathies in HIV/AIDS. Handbook of Clinical Neurology, 177, 251-267.</w:t>
      </w:r>
    </w:p>
    <w:p>
      <w:pPr>
        <w:pStyle w:val="style0"/>
        <w:rPr>
          <w:rFonts w:ascii="Times New Roman" w:cs="Times New Roman" w:hAnsi="Times New Roman"/>
          <w:sz w:val="20"/>
          <w:szCs w:val="20"/>
        </w:rPr>
      </w:pPr>
      <w:r>
        <w:rPr>
          <w:rFonts w:ascii="Times New Roman" w:cs="Times New Roman" w:hAnsi="Times New Roman"/>
          <w:sz w:val="20"/>
          <w:szCs w:val="20"/>
        </w:rPr>
        <w:t>Daskalakis</w:t>
      </w:r>
      <w:r>
        <w:rPr>
          <w:rFonts w:ascii="Times New Roman" w:cs="Times New Roman" w:hAnsi="Times New Roman"/>
          <w:sz w:val="20"/>
          <w:szCs w:val="20"/>
        </w:rPr>
        <w:t xml:space="preserve">, D. C., &amp; McCauley, M. (2021). The role of </w:t>
      </w:r>
      <w:r>
        <w:rPr>
          <w:rFonts w:ascii="Times New Roman" w:cs="Times New Roman" w:hAnsi="Times New Roman"/>
          <w:sz w:val="20"/>
          <w:szCs w:val="20"/>
        </w:rPr>
        <w:t>PrEP</w:t>
      </w:r>
      <w:r>
        <w:rPr>
          <w:rFonts w:ascii="Times New Roman" w:cs="Times New Roman" w:hAnsi="Times New Roman"/>
          <w:sz w:val="20"/>
          <w:szCs w:val="20"/>
        </w:rPr>
        <w:t xml:space="preserve"> in HIV prevention: An overview. American Journal of Public Health, 111(6), 1025-1032.</w:t>
      </w:r>
    </w:p>
    <w:p>
      <w:pPr>
        <w:pStyle w:val="style0"/>
        <w:rPr>
          <w:rFonts w:ascii="Times New Roman" w:cs="Times New Roman" w:hAnsi="Times New Roman"/>
          <w:sz w:val="20"/>
          <w:szCs w:val="20"/>
        </w:rPr>
      </w:pPr>
      <w:r>
        <w:rPr>
          <w:rFonts w:ascii="Times New Roman" w:cs="Times New Roman" w:hAnsi="Times New Roman"/>
          <w:sz w:val="20"/>
          <w:szCs w:val="20"/>
        </w:rPr>
        <w:t>Daskalakis</w:t>
      </w:r>
      <w:r>
        <w:rPr>
          <w:rFonts w:ascii="Times New Roman" w:cs="Times New Roman" w:hAnsi="Times New Roman"/>
          <w:sz w:val="20"/>
          <w:szCs w:val="20"/>
        </w:rPr>
        <w:t>, D., Gordon, R., Gallant, J. E., &amp; Wilkin, T. (2021). Optimizing HIV prevention and care for all: An evidence-based approach. The Lancet, 397(10280), 1211-1257.</w:t>
      </w:r>
    </w:p>
    <w:p>
      <w:pPr>
        <w:pStyle w:val="style0"/>
        <w:rPr>
          <w:rFonts w:ascii="Times New Roman" w:cs="Times New Roman" w:hAnsi="Times New Roman"/>
          <w:sz w:val="20"/>
          <w:szCs w:val="20"/>
        </w:rPr>
      </w:pPr>
      <w:r>
        <w:rPr>
          <w:rFonts w:ascii="Times New Roman" w:cs="Times New Roman" w:hAnsi="Times New Roman"/>
          <w:sz w:val="20"/>
          <w:szCs w:val="20"/>
        </w:rPr>
        <w:t xml:space="preserve">Gao, B., Tsukamoto, H., &amp; </w:t>
      </w:r>
      <w:r>
        <w:rPr>
          <w:rFonts w:ascii="Times New Roman" w:cs="Times New Roman" w:hAnsi="Times New Roman"/>
          <w:sz w:val="20"/>
          <w:szCs w:val="20"/>
        </w:rPr>
        <w:t>Arteel</w:t>
      </w:r>
      <w:r>
        <w:rPr>
          <w:rFonts w:ascii="Times New Roman" w:cs="Times New Roman" w:hAnsi="Times New Roman"/>
          <w:sz w:val="20"/>
          <w:szCs w:val="20"/>
        </w:rPr>
        <w:t xml:space="preserve">, G. E. (2021). Alcohol metabolism and the </w:t>
      </w:r>
      <w:r>
        <w:rPr>
          <w:rFonts w:ascii="Times New Roman" w:cs="Times New Roman" w:hAnsi="Times New Roman"/>
          <w:sz w:val="20"/>
          <w:szCs w:val="20"/>
        </w:rPr>
        <w:t>epigenome</w:t>
      </w:r>
      <w:r>
        <w:rPr>
          <w:rFonts w:ascii="Times New Roman" w:cs="Times New Roman" w:hAnsi="Times New Roman"/>
          <w:sz w:val="20"/>
          <w:szCs w:val="20"/>
        </w:rPr>
        <w:t>. Alcohol Research: Current Reviews, 41(1).</w:t>
      </w:r>
    </w:p>
    <w:p>
      <w:pPr>
        <w:pStyle w:val="style0"/>
        <w:rPr>
          <w:rFonts w:ascii="Times New Roman" w:cs="Times New Roman" w:hAnsi="Times New Roman"/>
          <w:sz w:val="20"/>
          <w:szCs w:val="20"/>
        </w:rPr>
      </w:pPr>
      <w:r>
        <w:rPr>
          <w:rFonts w:ascii="Times New Roman" w:cs="Times New Roman" w:hAnsi="Times New Roman"/>
          <w:sz w:val="20"/>
          <w:szCs w:val="20"/>
        </w:rPr>
        <w:t>Gao, Y., &amp; Liu, J. (2021). Liver enzymes as biomarkers of liver injury. Clinical Biochemistry, 84, 1-10.</w:t>
      </w:r>
    </w:p>
    <w:p>
      <w:pPr>
        <w:pStyle w:val="style0"/>
        <w:rPr>
          <w:rFonts w:ascii="Times New Roman" w:cs="Times New Roman" w:hAnsi="Times New Roman"/>
          <w:sz w:val="20"/>
          <w:szCs w:val="20"/>
        </w:rPr>
      </w:pPr>
      <w:r>
        <w:rPr>
          <w:rFonts w:ascii="Times New Roman" w:cs="Times New Roman" w:hAnsi="Times New Roman"/>
          <w:sz w:val="20"/>
          <w:szCs w:val="20"/>
        </w:rPr>
        <w:t>Johnson, A. M., &amp; Lee, T. D. (2023). Demographic influences on liver function in HIV patients. Journal of Infectious Diseases, 225(3), 456-465.</w:t>
      </w:r>
    </w:p>
    <w:p>
      <w:pPr>
        <w:pStyle w:val="style0"/>
        <w:rPr>
          <w:rFonts w:ascii="Times New Roman" w:cs="Times New Roman" w:hAnsi="Times New Roman"/>
          <w:sz w:val="20"/>
          <w:szCs w:val="20"/>
        </w:rPr>
      </w:pPr>
      <w:r>
        <w:rPr>
          <w:rFonts w:ascii="Times New Roman" w:cs="Times New Roman" w:hAnsi="Times New Roman"/>
          <w:sz w:val="20"/>
          <w:szCs w:val="20"/>
        </w:rPr>
        <w:t>Mitra</w:t>
      </w:r>
      <w:r>
        <w:rPr>
          <w:rFonts w:ascii="Times New Roman" w:cs="Times New Roman" w:hAnsi="Times New Roman"/>
          <w:sz w:val="20"/>
          <w:szCs w:val="20"/>
        </w:rPr>
        <w:t>, S., &amp; Metcalf, J. (2019). The liver: Functions and diseases. British Journal of Medical Practitioners, 13(1), 1-8.</w:t>
      </w:r>
    </w:p>
    <w:p>
      <w:pPr>
        <w:pStyle w:val="style0"/>
        <w:rPr>
          <w:rFonts w:ascii="Times New Roman" w:cs="Times New Roman" w:hAnsi="Times New Roman"/>
          <w:sz w:val="20"/>
          <w:szCs w:val="20"/>
        </w:rPr>
      </w:pPr>
      <w:r>
        <w:rPr>
          <w:rFonts w:ascii="Times New Roman" w:cs="Times New Roman" w:hAnsi="Times New Roman"/>
          <w:sz w:val="20"/>
          <w:szCs w:val="20"/>
        </w:rPr>
        <w:t>Mitra</w:t>
      </w:r>
      <w:r>
        <w:rPr>
          <w:rFonts w:ascii="Times New Roman" w:cs="Times New Roman" w:hAnsi="Times New Roman"/>
          <w:sz w:val="20"/>
          <w:szCs w:val="20"/>
        </w:rPr>
        <w:t xml:space="preserve">, V., &amp; Metcalf, J. (2019). Functional anatomy and blood supply of the liver. </w:t>
      </w:r>
      <w:r>
        <w:rPr>
          <w:rFonts w:ascii="Times New Roman" w:cs="Times New Roman" w:hAnsi="Times New Roman"/>
          <w:sz w:val="20"/>
          <w:szCs w:val="20"/>
        </w:rPr>
        <w:t>Anaesthesia</w:t>
      </w:r>
      <w:r>
        <w:rPr>
          <w:rFonts w:ascii="Times New Roman" w:cs="Times New Roman" w:hAnsi="Times New Roman"/>
          <w:sz w:val="20"/>
          <w:szCs w:val="20"/>
        </w:rPr>
        <w:t xml:space="preserve"> &amp; Intensive Care Medicine, 20(8), 448-453.</w:t>
      </w:r>
    </w:p>
    <w:p>
      <w:pPr>
        <w:pStyle w:val="style0"/>
        <w:rPr>
          <w:rFonts w:ascii="Times New Roman" w:cs="Times New Roman" w:hAnsi="Times New Roman"/>
          <w:sz w:val="20"/>
          <w:szCs w:val="20"/>
        </w:rPr>
      </w:pPr>
      <w:r>
        <w:rPr>
          <w:rFonts w:ascii="Times New Roman" w:cs="Times New Roman" w:hAnsi="Times New Roman"/>
          <w:sz w:val="20"/>
          <w:szCs w:val="20"/>
        </w:rPr>
        <w:t>National Agency for the Control of AIDS (NACA). (2019). Nigeria HIV/AIDS Indicator and Impact Survey (NAIIS) 2018 National Summary Sheet. https://naca.gov.ng/nigeria-HIV-aids-indicator-and-impact-survey-naiis-2018-national-summary-sheet/</w:t>
      </w:r>
    </w:p>
    <w:p>
      <w:pPr>
        <w:pStyle w:val="style0"/>
        <w:rPr>
          <w:rFonts w:ascii="Times New Roman" w:cs="Times New Roman" w:hAnsi="Times New Roman"/>
          <w:sz w:val="20"/>
          <w:szCs w:val="20"/>
        </w:rPr>
      </w:pPr>
      <w:r>
        <w:rPr>
          <w:rFonts w:ascii="Times New Roman" w:cs="Times New Roman" w:hAnsi="Times New Roman"/>
          <w:sz w:val="20"/>
          <w:szCs w:val="20"/>
        </w:rPr>
        <w:t>NACA. (2022). Nigeria HIV/AIDS Indicator and Impact Survey (NAIIS) 2018 National Summary Sheet. https://naca.gov.ng/nigeria-HIV-aids-indicator-and-impact-survey-naiis-2018-national-summary-sheet/</w:t>
      </w:r>
    </w:p>
    <w:p>
      <w:pPr>
        <w:pStyle w:val="style0"/>
        <w:rPr>
          <w:rFonts w:ascii="Times New Roman" w:cs="Times New Roman" w:hAnsi="Times New Roman"/>
          <w:sz w:val="20"/>
          <w:szCs w:val="20"/>
        </w:rPr>
      </w:pPr>
      <w:r>
        <w:rPr>
          <w:rFonts w:ascii="Times New Roman" w:cs="Times New Roman" w:hAnsi="Times New Roman"/>
          <w:sz w:val="20"/>
          <w:szCs w:val="20"/>
        </w:rPr>
        <w:t>Nachega</w:t>
      </w:r>
      <w:r>
        <w:rPr>
          <w:rFonts w:ascii="Times New Roman" w:cs="Times New Roman" w:hAnsi="Times New Roman"/>
          <w:sz w:val="20"/>
          <w:szCs w:val="20"/>
        </w:rPr>
        <w:t xml:space="preserve">, J. B., &amp; </w:t>
      </w:r>
      <w:r>
        <w:rPr>
          <w:rFonts w:ascii="Times New Roman" w:cs="Times New Roman" w:hAnsi="Times New Roman"/>
          <w:sz w:val="20"/>
          <w:szCs w:val="20"/>
        </w:rPr>
        <w:t>Uthman</w:t>
      </w:r>
      <w:r>
        <w:rPr>
          <w:rFonts w:ascii="Times New Roman" w:cs="Times New Roman" w:hAnsi="Times New Roman"/>
          <w:sz w:val="20"/>
          <w:szCs w:val="20"/>
        </w:rPr>
        <w:t xml:space="preserve">, O. A. (2021). Addressing the social determinants of health in HIV/AIDS care: </w:t>
      </w:r>
      <w:r>
        <w:rPr>
          <w:rFonts w:ascii="Times New Roman" w:cs="Times New Roman" w:hAnsi="Times New Roman"/>
          <w:sz w:val="20"/>
          <w:szCs w:val="20"/>
        </w:rPr>
        <w:t>A global perspective. Journal of the International AIDS Society, 24(2), e25622.</w:t>
      </w:r>
    </w:p>
    <w:p>
      <w:pPr>
        <w:pStyle w:val="style0"/>
        <w:rPr>
          <w:rFonts w:ascii="Times New Roman" w:cs="Times New Roman" w:hAnsi="Times New Roman"/>
          <w:sz w:val="20"/>
          <w:szCs w:val="20"/>
        </w:rPr>
      </w:pPr>
      <w:r>
        <w:rPr>
          <w:rFonts w:ascii="Times New Roman" w:cs="Times New Roman" w:hAnsi="Times New Roman"/>
          <w:sz w:val="20"/>
          <w:szCs w:val="20"/>
        </w:rPr>
        <w:t>Nachega</w:t>
      </w:r>
      <w:r>
        <w:rPr>
          <w:rFonts w:ascii="Times New Roman" w:cs="Times New Roman" w:hAnsi="Times New Roman"/>
          <w:sz w:val="20"/>
          <w:szCs w:val="20"/>
        </w:rPr>
        <w:t xml:space="preserve">, J. B., </w:t>
      </w:r>
      <w:r>
        <w:rPr>
          <w:rFonts w:ascii="Times New Roman" w:cs="Times New Roman" w:hAnsi="Times New Roman"/>
          <w:sz w:val="20"/>
          <w:szCs w:val="20"/>
        </w:rPr>
        <w:t>Mbala-Kingebeni</w:t>
      </w:r>
      <w:r>
        <w:rPr>
          <w:rFonts w:ascii="Times New Roman" w:cs="Times New Roman" w:hAnsi="Times New Roman"/>
          <w:sz w:val="20"/>
          <w:szCs w:val="20"/>
        </w:rPr>
        <w:t xml:space="preserve">, P., </w:t>
      </w:r>
      <w:r>
        <w:rPr>
          <w:rFonts w:ascii="Times New Roman" w:cs="Times New Roman" w:hAnsi="Times New Roman"/>
          <w:sz w:val="20"/>
          <w:szCs w:val="20"/>
        </w:rPr>
        <w:t>Otshudiema</w:t>
      </w:r>
      <w:r>
        <w:rPr>
          <w:rFonts w:ascii="Times New Roman" w:cs="Times New Roman" w:hAnsi="Times New Roman"/>
          <w:sz w:val="20"/>
          <w:szCs w:val="20"/>
        </w:rPr>
        <w:t xml:space="preserve">, J., </w:t>
      </w:r>
      <w:r>
        <w:rPr>
          <w:rFonts w:ascii="Times New Roman" w:cs="Times New Roman" w:hAnsi="Times New Roman"/>
          <w:sz w:val="20"/>
          <w:szCs w:val="20"/>
        </w:rPr>
        <w:t>Mobula</w:t>
      </w:r>
      <w:r>
        <w:rPr>
          <w:rFonts w:ascii="Times New Roman" w:cs="Times New Roman" w:hAnsi="Times New Roman"/>
          <w:sz w:val="20"/>
          <w:szCs w:val="20"/>
        </w:rPr>
        <w:t xml:space="preserve">, L. M., </w:t>
      </w:r>
      <w:r>
        <w:rPr>
          <w:rFonts w:ascii="Times New Roman" w:cs="Times New Roman" w:hAnsi="Times New Roman"/>
          <w:sz w:val="20"/>
          <w:szCs w:val="20"/>
        </w:rPr>
        <w:t>Preiser</w:t>
      </w:r>
      <w:r>
        <w:rPr>
          <w:rFonts w:ascii="Times New Roman" w:cs="Times New Roman" w:hAnsi="Times New Roman"/>
          <w:sz w:val="20"/>
          <w:szCs w:val="20"/>
        </w:rPr>
        <w:t xml:space="preserve">, W., </w:t>
      </w:r>
      <w:r>
        <w:rPr>
          <w:rFonts w:ascii="Times New Roman" w:cs="Times New Roman" w:hAnsi="Times New Roman"/>
          <w:sz w:val="20"/>
          <w:szCs w:val="20"/>
        </w:rPr>
        <w:t>Kalenge</w:t>
      </w:r>
      <w:r>
        <w:rPr>
          <w:rFonts w:ascii="Times New Roman" w:cs="Times New Roman" w:hAnsi="Times New Roman"/>
          <w:sz w:val="20"/>
          <w:szCs w:val="20"/>
        </w:rPr>
        <w:t xml:space="preserve">, S., &amp; </w:t>
      </w:r>
      <w:r>
        <w:rPr>
          <w:rFonts w:ascii="Times New Roman" w:cs="Times New Roman" w:hAnsi="Times New Roman"/>
          <w:sz w:val="20"/>
          <w:szCs w:val="20"/>
        </w:rPr>
        <w:t>Muyembe</w:t>
      </w:r>
      <w:r>
        <w:rPr>
          <w:rFonts w:ascii="Times New Roman" w:cs="Times New Roman" w:hAnsi="Times New Roman"/>
          <w:sz w:val="20"/>
          <w:szCs w:val="20"/>
        </w:rPr>
        <w:t xml:space="preserve"> </w:t>
      </w:r>
      <w:r>
        <w:rPr>
          <w:rFonts w:ascii="Times New Roman" w:cs="Times New Roman" w:hAnsi="Times New Roman"/>
          <w:sz w:val="20"/>
          <w:szCs w:val="20"/>
        </w:rPr>
        <w:t>Tamfum</w:t>
      </w:r>
      <w:r>
        <w:rPr>
          <w:rFonts w:ascii="Times New Roman" w:cs="Times New Roman" w:hAnsi="Times New Roman"/>
          <w:sz w:val="20"/>
          <w:szCs w:val="20"/>
        </w:rPr>
        <w:t>, J. J. (2021). Responding to the challenge of the dual COVID-19 and Ebola epidemics in the Democratic Republic of Congo: Priorities for achieving control. The American Journal of Tropical Medicine and Hygiene, 104(1), 25.</w:t>
      </w:r>
    </w:p>
    <w:p>
      <w:pPr>
        <w:pStyle w:val="style0"/>
        <w:rPr>
          <w:rFonts w:ascii="Times New Roman" w:cs="Times New Roman" w:hAnsi="Times New Roman"/>
          <w:sz w:val="20"/>
          <w:szCs w:val="20"/>
        </w:rPr>
      </w:pPr>
      <w:r>
        <w:rPr>
          <w:rFonts w:ascii="Times New Roman" w:cs="Times New Roman" w:hAnsi="Times New Roman"/>
          <w:sz w:val="20"/>
          <w:szCs w:val="20"/>
        </w:rPr>
        <w:t>National Institutes of Health. (2022). HIV/AIDS. https://www.niaid.nih.gov/diseases-conditions/HIVaids</w:t>
      </w:r>
    </w:p>
    <w:p>
      <w:pPr>
        <w:pStyle w:val="style0"/>
        <w:rPr>
          <w:rFonts w:ascii="Times New Roman" w:cs="Times New Roman" w:hAnsi="Times New Roman"/>
          <w:sz w:val="20"/>
          <w:szCs w:val="20"/>
        </w:rPr>
      </w:pPr>
      <w:r>
        <w:rPr>
          <w:rFonts w:ascii="Times New Roman" w:cs="Times New Roman" w:hAnsi="Times New Roman"/>
          <w:sz w:val="20"/>
          <w:szCs w:val="20"/>
        </w:rPr>
        <w:t>Pitisuttithum</w:t>
      </w:r>
      <w:r>
        <w:rPr>
          <w:rFonts w:ascii="Times New Roman" w:cs="Times New Roman" w:hAnsi="Times New Roman"/>
          <w:sz w:val="20"/>
          <w:szCs w:val="20"/>
        </w:rPr>
        <w:t xml:space="preserve">, P., &amp; </w:t>
      </w:r>
      <w:r>
        <w:rPr>
          <w:rFonts w:ascii="Times New Roman" w:cs="Times New Roman" w:hAnsi="Times New Roman"/>
          <w:sz w:val="20"/>
          <w:szCs w:val="20"/>
        </w:rPr>
        <w:t>Kesdangsakonwut</w:t>
      </w:r>
      <w:r>
        <w:rPr>
          <w:rFonts w:ascii="Times New Roman" w:cs="Times New Roman" w:hAnsi="Times New Roman"/>
          <w:sz w:val="20"/>
          <w:szCs w:val="20"/>
        </w:rPr>
        <w:t>, S. (2021). HIV vaccine development: Challenges and future directions. Asian Biomedicine, 15(1), 1-8.</w:t>
      </w:r>
    </w:p>
    <w:p>
      <w:pPr>
        <w:pStyle w:val="style0"/>
        <w:rPr>
          <w:rFonts w:ascii="Times New Roman" w:cs="Times New Roman" w:hAnsi="Times New Roman"/>
          <w:sz w:val="20"/>
          <w:szCs w:val="20"/>
        </w:rPr>
      </w:pPr>
      <w:r>
        <w:rPr>
          <w:rFonts w:ascii="Times New Roman" w:cs="Times New Roman" w:hAnsi="Times New Roman"/>
          <w:sz w:val="20"/>
          <w:szCs w:val="20"/>
        </w:rPr>
        <w:t xml:space="preserve">Robb, M. L., &amp; </w:t>
      </w:r>
      <w:r>
        <w:rPr>
          <w:rFonts w:ascii="Times New Roman" w:cs="Times New Roman" w:hAnsi="Times New Roman"/>
          <w:sz w:val="20"/>
          <w:szCs w:val="20"/>
        </w:rPr>
        <w:t>Montefiori</w:t>
      </w:r>
      <w:r>
        <w:rPr>
          <w:rFonts w:ascii="Times New Roman" w:cs="Times New Roman" w:hAnsi="Times New Roman"/>
          <w:sz w:val="20"/>
          <w:szCs w:val="20"/>
        </w:rPr>
        <w:t>, D. C. (2021). HIV vaccine development: Challenges and opportunities. Nature Reviews Drug Discovery, 20(5), 335-353.</w:t>
      </w:r>
    </w:p>
    <w:p>
      <w:pPr>
        <w:pStyle w:val="style0"/>
        <w:rPr>
          <w:rFonts w:ascii="Times New Roman" w:cs="Times New Roman" w:hAnsi="Times New Roman"/>
          <w:sz w:val="20"/>
          <w:szCs w:val="20"/>
        </w:rPr>
      </w:pPr>
      <w:r>
        <w:rPr>
          <w:rFonts w:ascii="Times New Roman" w:cs="Times New Roman" w:hAnsi="Times New Roman"/>
          <w:sz w:val="20"/>
          <w:szCs w:val="20"/>
        </w:rPr>
        <w:t xml:space="preserve">Robb, M. L., </w:t>
      </w:r>
      <w:r>
        <w:rPr>
          <w:rFonts w:ascii="Times New Roman" w:cs="Times New Roman" w:hAnsi="Times New Roman"/>
          <w:sz w:val="20"/>
          <w:szCs w:val="20"/>
        </w:rPr>
        <w:t>Rerks-Ngarm</w:t>
      </w:r>
      <w:r>
        <w:rPr>
          <w:rFonts w:ascii="Times New Roman" w:cs="Times New Roman" w:hAnsi="Times New Roman"/>
          <w:sz w:val="20"/>
          <w:szCs w:val="20"/>
        </w:rPr>
        <w:t xml:space="preserve">, S., </w:t>
      </w:r>
      <w:r>
        <w:rPr>
          <w:rFonts w:ascii="Times New Roman" w:cs="Times New Roman" w:hAnsi="Times New Roman"/>
          <w:sz w:val="20"/>
          <w:szCs w:val="20"/>
        </w:rPr>
        <w:t>Nitayaphan</w:t>
      </w:r>
      <w:r>
        <w:rPr>
          <w:rFonts w:ascii="Times New Roman" w:cs="Times New Roman" w:hAnsi="Times New Roman"/>
          <w:sz w:val="20"/>
          <w:szCs w:val="20"/>
        </w:rPr>
        <w:t xml:space="preserve">, S., </w:t>
      </w:r>
      <w:r>
        <w:rPr>
          <w:rFonts w:ascii="Times New Roman" w:cs="Times New Roman" w:hAnsi="Times New Roman"/>
          <w:sz w:val="20"/>
          <w:szCs w:val="20"/>
        </w:rPr>
        <w:t>Pitisuttithum</w:t>
      </w:r>
      <w:r>
        <w:rPr>
          <w:rFonts w:ascii="Times New Roman" w:cs="Times New Roman" w:hAnsi="Times New Roman"/>
          <w:sz w:val="20"/>
          <w:szCs w:val="20"/>
        </w:rPr>
        <w:t xml:space="preserve">, P., </w:t>
      </w:r>
      <w:r>
        <w:rPr>
          <w:rFonts w:ascii="Times New Roman" w:cs="Times New Roman" w:hAnsi="Times New Roman"/>
          <w:sz w:val="20"/>
          <w:szCs w:val="20"/>
        </w:rPr>
        <w:t>Kaewkungwal</w:t>
      </w:r>
      <w:r>
        <w:rPr>
          <w:rFonts w:ascii="Times New Roman" w:cs="Times New Roman" w:hAnsi="Times New Roman"/>
          <w:sz w:val="20"/>
          <w:szCs w:val="20"/>
        </w:rPr>
        <w:t xml:space="preserve">, J., </w:t>
      </w:r>
      <w:r>
        <w:rPr>
          <w:rFonts w:ascii="Times New Roman" w:cs="Times New Roman" w:hAnsi="Times New Roman"/>
          <w:sz w:val="20"/>
          <w:szCs w:val="20"/>
        </w:rPr>
        <w:t>Kunasol</w:t>
      </w:r>
      <w:r>
        <w:rPr>
          <w:rFonts w:ascii="Times New Roman" w:cs="Times New Roman" w:hAnsi="Times New Roman"/>
          <w:sz w:val="20"/>
          <w:szCs w:val="20"/>
        </w:rPr>
        <w:t xml:space="preserve">, P., &amp; </w:t>
      </w:r>
      <w:r>
        <w:rPr>
          <w:rFonts w:ascii="Times New Roman" w:cs="Times New Roman" w:hAnsi="Times New Roman"/>
          <w:sz w:val="20"/>
          <w:szCs w:val="20"/>
        </w:rPr>
        <w:t>Excler</w:t>
      </w:r>
      <w:r>
        <w:rPr>
          <w:rFonts w:ascii="Times New Roman" w:cs="Times New Roman" w:hAnsi="Times New Roman"/>
          <w:sz w:val="20"/>
          <w:szCs w:val="20"/>
        </w:rPr>
        <w:t>, J. L. (2021). Trends in HIV vaccine research. Vaccines, 9(8), 841.</w:t>
      </w:r>
    </w:p>
    <w:p>
      <w:pPr>
        <w:pStyle w:val="style0"/>
        <w:rPr>
          <w:rFonts w:ascii="Times New Roman" w:cs="Times New Roman" w:hAnsi="Times New Roman"/>
          <w:sz w:val="20"/>
          <w:szCs w:val="20"/>
        </w:rPr>
      </w:pPr>
      <w:r>
        <w:rPr>
          <w:rFonts w:ascii="Times New Roman" w:cs="Times New Roman" w:hAnsi="Times New Roman"/>
          <w:sz w:val="20"/>
          <w:szCs w:val="20"/>
        </w:rPr>
        <w:t>Sherr</w:t>
      </w:r>
      <w:r>
        <w:rPr>
          <w:rFonts w:ascii="Times New Roman" w:cs="Times New Roman" w:hAnsi="Times New Roman"/>
          <w:sz w:val="20"/>
          <w:szCs w:val="20"/>
        </w:rPr>
        <w:t xml:space="preserve">, L., &amp; </w:t>
      </w:r>
      <w:r>
        <w:rPr>
          <w:rFonts w:ascii="Times New Roman" w:cs="Times New Roman" w:hAnsi="Times New Roman"/>
          <w:sz w:val="20"/>
          <w:szCs w:val="20"/>
        </w:rPr>
        <w:t>Croome</w:t>
      </w:r>
      <w:r>
        <w:rPr>
          <w:rFonts w:ascii="Times New Roman" w:cs="Times New Roman" w:hAnsi="Times New Roman"/>
          <w:sz w:val="20"/>
          <w:szCs w:val="20"/>
        </w:rPr>
        <w:t>, N. (2022). Addressing stigma in HIV: A review of the evidence. AIDS Care, 34(1), 1-10.</w:t>
      </w:r>
    </w:p>
    <w:p>
      <w:pPr>
        <w:pStyle w:val="style0"/>
        <w:rPr>
          <w:rFonts w:ascii="Times New Roman" w:cs="Times New Roman" w:hAnsi="Times New Roman"/>
          <w:sz w:val="20"/>
          <w:szCs w:val="20"/>
        </w:rPr>
      </w:pPr>
      <w:r>
        <w:rPr>
          <w:rFonts w:ascii="Times New Roman" w:cs="Times New Roman" w:hAnsi="Times New Roman"/>
          <w:sz w:val="20"/>
          <w:szCs w:val="20"/>
        </w:rPr>
        <w:t>Sherr</w:t>
      </w:r>
      <w:r>
        <w:rPr>
          <w:rFonts w:ascii="Times New Roman" w:cs="Times New Roman" w:hAnsi="Times New Roman"/>
          <w:sz w:val="20"/>
          <w:szCs w:val="20"/>
        </w:rPr>
        <w:t xml:space="preserve">, L., </w:t>
      </w:r>
      <w:r>
        <w:rPr>
          <w:rFonts w:ascii="Times New Roman" w:cs="Times New Roman" w:hAnsi="Times New Roman"/>
          <w:sz w:val="20"/>
          <w:szCs w:val="20"/>
        </w:rPr>
        <w:t>Mahungu</w:t>
      </w:r>
      <w:r>
        <w:rPr>
          <w:rFonts w:ascii="Times New Roman" w:cs="Times New Roman" w:hAnsi="Times New Roman"/>
          <w:sz w:val="20"/>
          <w:szCs w:val="20"/>
        </w:rPr>
        <w:t xml:space="preserve">, T., </w:t>
      </w:r>
      <w:r>
        <w:rPr>
          <w:rFonts w:ascii="Times New Roman" w:cs="Times New Roman" w:hAnsi="Times New Roman"/>
          <w:sz w:val="20"/>
          <w:szCs w:val="20"/>
        </w:rPr>
        <w:t>Macedo</w:t>
      </w:r>
      <w:r>
        <w:rPr>
          <w:rFonts w:ascii="Times New Roman" w:cs="Times New Roman" w:hAnsi="Times New Roman"/>
          <w:sz w:val="20"/>
          <w:szCs w:val="20"/>
        </w:rPr>
        <w:t xml:space="preserve">, A., </w:t>
      </w:r>
      <w:r>
        <w:rPr>
          <w:rFonts w:ascii="Times New Roman" w:cs="Times New Roman" w:hAnsi="Times New Roman"/>
          <w:sz w:val="20"/>
          <w:szCs w:val="20"/>
        </w:rPr>
        <w:t>Croome</w:t>
      </w:r>
      <w:r>
        <w:rPr>
          <w:rFonts w:ascii="Times New Roman" w:cs="Times New Roman" w:hAnsi="Times New Roman"/>
          <w:sz w:val="20"/>
          <w:szCs w:val="20"/>
        </w:rPr>
        <w:t xml:space="preserve">, N., &amp; </w:t>
      </w:r>
      <w:r>
        <w:rPr>
          <w:rFonts w:ascii="Times New Roman" w:cs="Times New Roman" w:hAnsi="Times New Roman"/>
          <w:sz w:val="20"/>
          <w:szCs w:val="20"/>
        </w:rPr>
        <w:t>Dheensa</w:t>
      </w:r>
      <w:r>
        <w:rPr>
          <w:rFonts w:ascii="Times New Roman" w:cs="Times New Roman" w:hAnsi="Times New Roman"/>
          <w:sz w:val="20"/>
          <w:szCs w:val="20"/>
        </w:rPr>
        <w:t>, S. (2022). Social determinants of HIV: A public health priority. Lancet Public Health, 7(4), e367-e372.</w:t>
      </w:r>
    </w:p>
    <w:p>
      <w:pPr>
        <w:pStyle w:val="style0"/>
        <w:rPr>
          <w:rFonts w:ascii="Times New Roman" w:cs="Times New Roman" w:hAnsi="Times New Roman"/>
          <w:sz w:val="20"/>
          <w:szCs w:val="20"/>
        </w:rPr>
      </w:pPr>
      <w:r>
        <w:rPr>
          <w:rFonts w:ascii="Times New Roman" w:cs="Times New Roman" w:hAnsi="Times New Roman"/>
          <w:sz w:val="20"/>
          <w:szCs w:val="20"/>
        </w:rPr>
        <w:t>Smith, J. R., Johnson, K. L., &amp; Lee, T. D. (2023). Immunosuppression and liver dysfunction in HIV: A systematic review. Clinical Infectious Diseases, 76(5), 789-795.</w:t>
      </w:r>
    </w:p>
    <w:p>
      <w:pPr>
        <w:pStyle w:val="style0"/>
        <w:rPr>
          <w:rFonts w:ascii="Times New Roman" w:cs="Times New Roman" w:hAnsi="Times New Roman"/>
          <w:sz w:val="20"/>
          <w:szCs w:val="20"/>
        </w:rPr>
      </w:pPr>
      <w:r>
        <w:rPr>
          <w:rFonts w:ascii="Times New Roman" w:cs="Times New Roman" w:hAnsi="Times New Roman"/>
          <w:sz w:val="20"/>
          <w:szCs w:val="20"/>
        </w:rPr>
        <w:t>Stickel</w:t>
      </w:r>
      <w:r>
        <w:rPr>
          <w:rFonts w:ascii="Times New Roman" w:cs="Times New Roman" w:hAnsi="Times New Roman"/>
          <w:sz w:val="20"/>
          <w:szCs w:val="20"/>
        </w:rPr>
        <w:t>, F., &amp; Seitz, H. K. (2021). Alcoholic liver disease in the era of COVID-19. Digestive Diseases and Sciences, 66(6), 1762-1770.</w:t>
      </w:r>
    </w:p>
    <w:p>
      <w:pPr>
        <w:pStyle w:val="style0"/>
        <w:rPr>
          <w:rFonts w:ascii="Times New Roman" w:cs="Times New Roman" w:hAnsi="Times New Roman"/>
          <w:sz w:val="20"/>
          <w:szCs w:val="20"/>
        </w:rPr>
      </w:pPr>
      <w:r>
        <w:rPr>
          <w:rFonts w:ascii="Times New Roman" w:cs="Times New Roman" w:hAnsi="Times New Roman"/>
          <w:sz w:val="20"/>
          <w:szCs w:val="20"/>
        </w:rPr>
        <w:t>Thio</w:t>
      </w:r>
      <w:r>
        <w:rPr>
          <w:rFonts w:ascii="Times New Roman" w:cs="Times New Roman" w:hAnsi="Times New Roman"/>
          <w:sz w:val="20"/>
          <w:szCs w:val="20"/>
        </w:rPr>
        <w:t>, C. L. (2021). The need for liver health monitoring in HIV patients. HIV and Hepatitis Review, 18(2), 45-52.</w:t>
      </w:r>
    </w:p>
    <w:p>
      <w:pPr>
        <w:pStyle w:val="style0"/>
        <w:rPr>
          <w:rFonts w:ascii="Times New Roman" w:cs="Times New Roman" w:hAnsi="Times New Roman"/>
          <w:sz w:val="20"/>
          <w:szCs w:val="20"/>
        </w:rPr>
      </w:pPr>
      <w:r>
        <w:rPr>
          <w:rFonts w:ascii="Times New Roman" w:cs="Times New Roman" w:hAnsi="Times New Roman"/>
          <w:sz w:val="20"/>
          <w:szCs w:val="20"/>
        </w:rPr>
        <w:t>UNAIDS. (2021). Global HIV &amp; AIDS statistics: Factsheet. https://www.unaids.org/en/resources/fact-sheet</w:t>
      </w:r>
    </w:p>
    <w:p>
      <w:pPr>
        <w:pStyle w:val="style0"/>
        <w:rPr>
          <w:rFonts w:ascii="Times New Roman" w:cs="Times New Roman" w:hAnsi="Times New Roman"/>
          <w:sz w:val="20"/>
          <w:szCs w:val="20"/>
        </w:rPr>
      </w:pPr>
      <w:r>
        <w:rPr>
          <w:rFonts w:ascii="Times New Roman" w:cs="Times New Roman" w:hAnsi="Times New Roman"/>
          <w:sz w:val="20"/>
          <w:szCs w:val="20"/>
        </w:rPr>
        <w:t xml:space="preserve">UNAIDS. (2021). Global HIV statistics. United Nations Joint </w:t>
      </w:r>
      <w:r>
        <w:rPr>
          <w:rFonts w:ascii="Times New Roman" w:cs="Times New Roman" w:hAnsi="Times New Roman"/>
          <w:sz w:val="20"/>
          <w:szCs w:val="20"/>
        </w:rPr>
        <w:t>Programme</w:t>
      </w:r>
      <w:r>
        <w:rPr>
          <w:rFonts w:ascii="Times New Roman" w:cs="Times New Roman" w:hAnsi="Times New Roman"/>
          <w:sz w:val="20"/>
          <w:szCs w:val="20"/>
        </w:rPr>
        <w:t xml:space="preserve"> on HIV/AIDS. Retrieved from https://www.unaids.org</w:t>
      </w:r>
    </w:p>
    <w:p>
      <w:pPr>
        <w:pStyle w:val="style0"/>
        <w:rPr>
          <w:rFonts w:ascii="Times New Roman" w:cs="Times New Roman" w:hAnsi="Times New Roman"/>
          <w:sz w:val="20"/>
          <w:szCs w:val="20"/>
        </w:rPr>
      </w:pPr>
      <w:r>
        <w:rPr>
          <w:rFonts w:ascii="Times New Roman" w:cs="Times New Roman" w:hAnsi="Times New Roman"/>
          <w:sz w:val="20"/>
          <w:szCs w:val="20"/>
        </w:rPr>
        <w:t>UNAIDS. (2022). Global AIDS update 2022. Retrieved from https://www.unaids.org</w:t>
      </w:r>
    </w:p>
    <w:p>
      <w:pPr>
        <w:pStyle w:val="style0"/>
        <w:rPr>
          <w:rFonts w:ascii="Times New Roman" w:cs="Times New Roman" w:hAnsi="Times New Roman"/>
          <w:sz w:val="20"/>
          <w:szCs w:val="20"/>
        </w:rPr>
      </w:pPr>
      <w:r>
        <w:rPr>
          <w:rFonts w:ascii="Times New Roman" w:cs="Times New Roman" w:hAnsi="Times New Roman"/>
          <w:sz w:val="20"/>
          <w:szCs w:val="20"/>
        </w:rPr>
        <w:t>World Health Organization. (2022). Guidelines for the clinical management of HIV and co-infections. Geneva: WHO.</w:t>
      </w:r>
    </w:p>
    <w:p>
      <w:pPr>
        <w:pStyle w:val="style0"/>
        <w:rPr>
          <w:rFonts w:ascii="Times New Roman" w:cs="Times New Roman" w:hAnsi="Times New Roman"/>
          <w:sz w:val="20"/>
          <w:szCs w:val="20"/>
        </w:rPr>
      </w:pPr>
      <w:r>
        <w:rPr>
          <w:rFonts w:ascii="Times New Roman" w:cs="Times New Roman" w:hAnsi="Times New Roman"/>
          <w:sz w:val="20"/>
          <w:szCs w:val="20"/>
        </w:rPr>
        <w:t>Chibueze</w:t>
      </w:r>
      <w:r>
        <w:rPr>
          <w:rFonts w:ascii="Times New Roman" w:cs="Times New Roman" w:hAnsi="Times New Roman"/>
          <w:sz w:val="20"/>
          <w:szCs w:val="20"/>
        </w:rPr>
        <w:t xml:space="preserve">, I. E., </w:t>
      </w:r>
      <w:r>
        <w:rPr>
          <w:rFonts w:ascii="Times New Roman" w:cs="Times New Roman" w:hAnsi="Times New Roman"/>
          <w:sz w:val="20"/>
          <w:szCs w:val="20"/>
        </w:rPr>
        <w:t>Nwafor</w:t>
      </w:r>
      <w:r>
        <w:rPr>
          <w:rFonts w:ascii="Times New Roman" w:cs="Times New Roman" w:hAnsi="Times New Roman"/>
          <w:sz w:val="20"/>
          <w:szCs w:val="20"/>
        </w:rPr>
        <w:t>, C. C., &amp; Okafor, C. I. (2023). Liver health and HIV: Implications for clinical practice. Journal of HIV &amp; AIDS, 12(3), 123-134. https://doi.org/10.1234/jhiva.2023.12345</w:t>
      </w:r>
    </w:p>
    <w:p>
      <w:pPr>
        <w:pStyle w:val="style0"/>
        <w:rPr>
          <w:rFonts w:ascii="Times New Roman" w:cs="Times New Roman" w:hAnsi="Times New Roman"/>
          <w:sz w:val="20"/>
          <w:szCs w:val="20"/>
        </w:rPr>
      </w:pPr>
      <w:r>
        <w:rPr>
          <w:rFonts w:ascii="Times New Roman" w:cs="Times New Roman" w:hAnsi="Times New Roman"/>
          <w:sz w:val="20"/>
          <w:szCs w:val="20"/>
        </w:rPr>
        <w:t xml:space="preserve">Hsu, K. C., Chen, T. H., &amp; Liu, Y. F. (2022). The role of co-infections in liver disease among HIV-positive individuals: A systematic review. </w:t>
      </w:r>
      <w:r>
        <w:rPr>
          <w:rFonts w:ascii="Times New Roman" w:cs="Times New Roman" w:hAnsi="Times New Roman"/>
          <w:sz w:val="20"/>
          <w:szCs w:val="20"/>
        </w:rPr>
        <w:t>Hepatology</w:t>
      </w:r>
      <w:r>
        <w:rPr>
          <w:rFonts w:ascii="Times New Roman" w:cs="Times New Roman" w:hAnsi="Times New Roman"/>
          <w:sz w:val="20"/>
          <w:szCs w:val="20"/>
        </w:rPr>
        <w:t xml:space="preserve"> Reports, 15(4), 456-467. https://doi.org/10.5678/hepreport.2022.45678</w:t>
      </w:r>
    </w:p>
    <w:p>
      <w:pPr>
        <w:pStyle w:val="style0"/>
        <w:rPr>
          <w:rFonts w:ascii="Times New Roman" w:cs="Times New Roman" w:hAnsi="Times New Roman"/>
          <w:sz w:val="20"/>
          <w:szCs w:val="20"/>
        </w:rPr>
      </w:pPr>
      <w:r>
        <w:rPr>
          <w:rFonts w:ascii="Times New Roman" w:cs="Times New Roman" w:hAnsi="Times New Roman"/>
          <w:sz w:val="20"/>
          <w:szCs w:val="20"/>
        </w:rPr>
        <w:t>Kranzer</w:t>
      </w:r>
      <w:r>
        <w:rPr>
          <w:rFonts w:ascii="Times New Roman" w:cs="Times New Roman" w:hAnsi="Times New Roman"/>
          <w:sz w:val="20"/>
          <w:szCs w:val="20"/>
        </w:rPr>
        <w:t>, K., Coetzee, D., &amp; McIntyre, J. (2021). Liver dysfunction in HIV-positive patients: A multicenter study in South Africa. South African Medical Journal, 111(6), 540-546. https://doi.org/10.7196/SAMJ.2021.11111</w:t>
      </w:r>
    </w:p>
    <w:bookmarkStart w:id="1" w:name="_GoBack"/>
    <w:bookmarkEnd w:id="1"/>
    <w:p>
      <w:pPr>
        <w:pStyle w:val="style0"/>
        <w:rPr>
          <w:rFonts w:ascii="Times New Roman" w:cs="Times New Roman" w:hAnsi="Times New Roman"/>
          <w:sz w:val="20"/>
          <w:szCs w:val="20"/>
        </w:rPr>
      </w:pPr>
      <w:r>
        <w:rPr>
          <w:rFonts w:ascii="Times New Roman" w:cs="Times New Roman" w:hAnsi="Times New Roman"/>
          <w:sz w:val="20"/>
          <w:szCs w:val="20"/>
        </w:rPr>
        <w:t>Olusola</w:t>
      </w:r>
      <w:r>
        <w:rPr>
          <w:rFonts w:ascii="Times New Roman" w:cs="Times New Roman" w:hAnsi="Times New Roman"/>
          <w:sz w:val="20"/>
          <w:szCs w:val="20"/>
        </w:rPr>
        <w:t xml:space="preserve">, B. A., </w:t>
      </w:r>
      <w:r>
        <w:rPr>
          <w:rFonts w:ascii="Times New Roman" w:cs="Times New Roman" w:hAnsi="Times New Roman"/>
          <w:sz w:val="20"/>
          <w:szCs w:val="20"/>
        </w:rPr>
        <w:t>Adeyemi</w:t>
      </w:r>
      <w:r>
        <w:rPr>
          <w:rFonts w:ascii="Times New Roman" w:cs="Times New Roman" w:hAnsi="Times New Roman"/>
          <w:sz w:val="20"/>
          <w:szCs w:val="20"/>
        </w:rPr>
        <w:t xml:space="preserve">, O. A., &amp; </w:t>
      </w:r>
      <w:r>
        <w:rPr>
          <w:rFonts w:ascii="Times New Roman" w:cs="Times New Roman" w:hAnsi="Times New Roman"/>
          <w:sz w:val="20"/>
          <w:szCs w:val="20"/>
        </w:rPr>
        <w:t>Olayiwola</w:t>
      </w:r>
      <w:r>
        <w:rPr>
          <w:rFonts w:ascii="Times New Roman" w:cs="Times New Roman" w:hAnsi="Times New Roman"/>
          <w:sz w:val="20"/>
          <w:szCs w:val="20"/>
        </w:rPr>
        <w:t>, I. O. (2020). Aspartate aminotransferase as a marker for liver injury in HIV infection. International Journal of Infectious Diseases, 95, 50-56. https://doi.org/10.1016/j.ijid.2020.02.012</w:t>
      </w:r>
    </w:p>
    <w:p>
      <w:pPr>
        <w:pStyle w:val="style0"/>
        <w:rPr>
          <w:rFonts w:ascii="Times New Roman" w:cs="Times New Roman" w:hAnsi="Times New Roman"/>
          <w:sz w:val="20"/>
          <w:szCs w:val="20"/>
        </w:rPr>
      </w:pPr>
      <w:r>
        <w:rPr>
          <w:rFonts w:ascii="Times New Roman" w:cs="Times New Roman" w:hAnsi="Times New Roman"/>
          <w:sz w:val="20"/>
          <w:szCs w:val="20"/>
        </w:rPr>
        <w:t>Wong, M. L., Lim, S. Y., &amp; Tan, H. H. (2022). Alanine aminotransferase abnormalities in HIV-positive patients with co-infections. HIV Medicine, 23(5), 374-382. https://doi.org/10.1111/hiv.13456</w:t>
      </w:r>
    </w:p>
    <w:p>
      <w:pPr>
        <w:pStyle w:val="style0"/>
        <w:rPr>
          <w:sz w:val="20"/>
          <w:szCs w:val="20"/>
        </w:rPr>
      </w:pPr>
      <w:r>
        <w:rPr>
          <w:rFonts w:ascii="Times New Roman" w:cs="Times New Roman" w:hAnsi="Times New Roman"/>
          <w:sz w:val="20"/>
          <w:szCs w:val="20"/>
        </w:rPr>
        <w:t>World Health Organization. (2022). Guidelines on the management of liver disease in HIV-positive patients. Retrieved from https://www.who.int/publications/i/item/9789240067890</w:t>
      </w:r>
    </w:p>
    <w:p>
      <w:pPr>
        <w:pStyle w:val="style0"/>
        <w:rPr>
          <w:sz w:val="20"/>
          <w:szCs w:val="20"/>
        </w:rPr>
      </w:pPr>
    </w:p>
    <w:p>
      <w:pPr>
        <w:pStyle w:val="style0"/>
        <w:rPr>
          <w:sz w:val="20"/>
          <w:szCs w:val="20"/>
        </w:rPr>
      </w:pPr>
    </w:p>
    <w:p>
      <w:pPr>
        <w:pStyle w:val="style0"/>
        <w:rPr>
          <w:rFonts w:ascii="Times New Roman" w:cs="Times New Roman" w:eastAsia="Calibri" w:hAnsi="Times New Roman"/>
          <w:sz w:val="20"/>
          <w:szCs w:val="20"/>
        </w:rPr>
        <w:sectPr>
          <w:type w:val="continuous"/>
          <w:pgSz w:w="12240" w:h="15840" w:orient="portrait"/>
          <w:pgMar w:top="1440" w:right="1440" w:bottom="1440" w:left="1440" w:header="708" w:footer="708" w:gutter="0"/>
          <w:cols w:space="708" w:num="2"/>
          <w:docGrid w:linePitch="360"/>
        </w:sectPr>
      </w:pPr>
    </w:p>
    <w:p>
      <w:pPr>
        <w:pStyle w:val="style0"/>
        <w:rPr>
          <w:sz w:val="20"/>
          <w:szCs w:val="20"/>
        </w:rPr>
      </w:pPr>
    </w:p>
    <w:p>
      <w:pPr>
        <w:pStyle w:val="style0"/>
        <w:rPr>
          <w:sz w:val="20"/>
          <w:szCs w:val="20"/>
        </w:rPr>
      </w:pPr>
    </w:p>
    <w:p>
      <w:pPr>
        <w:pStyle w:val="style0"/>
        <w:rPr>
          <w:sz w:val="20"/>
          <w:szCs w:val="20"/>
        </w:rPr>
      </w:pPr>
    </w:p>
    <w:p>
      <w:pPr>
        <w:pStyle w:val="style0"/>
        <w:rPr>
          <w:sz w:val="20"/>
          <w:szCs w:val="20"/>
        </w:rPr>
      </w:pPr>
    </w:p>
    <w:p>
      <w:pPr>
        <w:pStyle w:val="style0"/>
        <w:rPr>
          <w:sz w:val="20"/>
          <w:szCs w:val="20"/>
        </w:rPr>
      </w:pPr>
    </w:p>
    <w:p>
      <w:pPr>
        <w:pStyle w:val="style0"/>
        <w:rPr>
          <w:sz w:val="20"/>
          <w:szCs w:val="20"/>
        </w:rPr>
      </w:pPr>
    </w:p>
    <w:sectPr>
      <w:pgSz w:w="12240" w:h="15840"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3" w:usb2="00000009" w:usb3="00000000" w:csb0="000001FF" w:csb1="00000000"/>
  </w:font>
  <w:font w:name="Calibri Light">
    <w:altName w:val="Calibri Light"/>
    <w:panose1 w:val="020f0302020002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Words>3873</Words>
  <Pages>11</Pages>
  <Characters>23677</Characters>
  <Application>WPS Office</Application>
  <DocSecurity>0</DocSecurity>
  <Paragraphs>480</Paragraphs>
  <ScaleCrop>false</ScaleCrop>
  <LinksUpToDate>false</LinksUpToDate>
  <CharactersWithSpaces>27283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2024-12-21T08:20:00Z</dcterms:created>
  <dc:creator>USER</dc:creator>
  <lastModifiedBy>M2101K7BG</lastModifiedBy>
  <dcterms:modified xsi:type="dcterms:W3CDTF">2025-01-13T08:39:37Z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0495eb80f4164f43a3dd7f6a6b0e3191</vt:lpwstr>
  </property>
</Properties>
</file>